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423B97" w:rsidP="009F428C">
      <w:pPr>
        <w:autoSpaceDE w:val="0"/>
        <w:autoSpaceDN w:val="0"/>
        <w:adjustRightInd w:val="0"/>
        <w:spacing w:after="960" w:line="240" w:lineRule="atLeast"/>
        <w:jc w:val="center"/>
        <w:rPr>
          <w:sz w:val="24"/>
        </w:rPr>
      </w:pPr>
      <w:r>
        <w:rPr>
          <w:noProof/>
          <w:sz w:val="24"/>
          <w:lang w:eastAsia="pl-PL"/>
        </w:rPr>
        <w:drawing>
          <wp:inline distT="0" distB="0" distL="0" distR="0" wp14:anchorId="0A40578E" wp14:editId="616BA605">
            <wp:extent cx="5761355" cy="8027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1355" cy="802724"/>
                    </a:xfrm>
                    <a:prstGeom prst="rect">
                      <a:avLst/>
                    </a:prstGeom>
                    <a:noFill/>
                  </pic:spPr>
                </pic:pic>
              </a:graphicData>
            </a:graphic>
          </wp:inline>
        </w:drawing>
      </w:r>
    </w:p>
    <w:p w:rsidR="0074275F" w:rsidRDefault="00E43D75" w:rsidP="000C2C0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wydatków </w:t>
      </w:r>
      <w:bookmarkEnd w:id="0"/>
      <w:bookmarkEnd w:id="1"/>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rsidR="00E352AA" w:rsidRPr="00B81671" w:rsidRDefault="007005C1" w:rsidP="009F428C">
      <w:pPr>
        <w:spacing w:after="8400"/>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Start w:id="10" w:name="_GoBack"/>
      <w:bookmarkEnd w:id="2"/>
      <w:bookmarkEnd w:id="3"/>
      <w:bookmarkEnd w:id="4"/>
      <w:bookmarkEnd w:id="5"/>
      <w:bookmarkEnd w:id="6"/>
      <w:bookmarkEnd w:id="7"/>
      <w:bookmarkEnd w:id="8"/>
      <w:bookmarkEnd w:id="9"/>
      <w:permStart w:id="138766082" w:edGrp="everyone"/>
      <w:permEnd w:id="138766082"/>
    </w:p>
    <w:bookmarkEnd w:id="10"/>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F428C">
        <w:rPr>
          <w:b/>
          <w:bCs/>
          <w:i/>
          <w:iCs/>
          <w:color w:val="000000"/>
        </w:rPr>
        <w:t xml:space="preserve"> 10</w:t>
      </w:r>
      <w:r w:rsidR="00E93F3B">
        <w:rPr>
          <w:b/>
          <w:bCs/>
          <w:i/>
          <w:iCs/>
          <w:color w:val="000000"/>
        </w:rPr>
        <w:t xml:space="preserve"> </w:t>
      </w:r>
      <w:r w:rsidR="009F428C">
        <w:rPr>
          <w:b/>
          <w:bCs/>
          <w:i/>
          <w:iCs/>
          <w:color w:val="000000"/>
        </w:rPr>
        <w:t>maja</w:t>
      </w:r>
      <w:r w:rsidR="00E93F3B">
        <w:rPr>
          <w:b/>
          <w:bCs/>
          <w:i/>
          <w:iCs/>
          <w:color w:val="000000"/>
        </w:rPr>
        <w:t xml:space="preserve"> </w:t>
      </w:r>
      <w:r w:rsidR="00CF0209" w:rsidRPr="007E469E">
        <w:rPr>
          <w:b/>
          <w:bCs/>
          <w:i/>
          <w:iCs/>
          <w:color w:val="000000"/>
        </w:rPr>
        <w:t>201</w:t>
      </w:r>
      <w:r w:rsidR="00DB0A7D">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8F6EE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12234646" w:history="1">
            <w:r w:rsidR="008F6EE9" w:rsidRPr="003822C3">
              <w:rPr>
                <w:rStyle w:val="Hipercze"/>
              </w:rPr>
              <w:t>Wykaz skrótów</w:t>
            </w:r>
            <w:r w:rsidR="008F6EE9">
              <w:rPr>
                <w:webHidden/>
              </w:rPr>
              <w:tab/>
            </w:r>
            <w:r w:rsidR="008F6EE9">
              <w:rPr>
                <w:webHidden/>
              </w:rPr>
              <w:fldChar w:fldCharType="begin"/>
            </w:r>
            <w:r w:rsidR="008F6EE9">
              <w:rPr>
                <w:webHidden/>
              </w:rPr>
              <w:instrText xml:space="preserve"> PAGEREF _Toc512234646 \h </w:instrText>
            </w:r>
            <w:r w:rsidR="008F6EE9">
              <w:rPr>
                <w:webHidden/>
              </w:rPr>
            </w:r>
            <w:r w:rsidR="008F6EE9">
              <w:rPr>
                <w:webHidden/>
              </w:rPr>
              <w:fldChar w:fldCharType="separate"/>
            </w:r>
            <w:r w:rsidR="008F6EE9">
              <w:rPr>
                <w:webHidden/>
              </w:rPr>
              <w:t>4</w:t>
            </w:r>
            <w:r w:rsidR="008F6EE9">
              <w:rPr>
                <w:webHidden/>
              </w:rPr>
              <w:fldChar w:fldCharType="end"/>
            </w:r>
          </w:hyperlink>
        </w:p>
        <w:p w:rsidR="008F6EE9" w:rsidRDefault="008F6EE9">
          <w:pPr>
            <w:pStyle w:val="Spistreci1"/>
            <w:rPr>
              <w:rFonts w:asciiTheme="minorHAnsi" w:hAnsiTheme="minorHAnsi" w:cstheme="minorBidi"/>
              <w:b w:val="0"/>
            </w:rPr>
          </w:pPr>
          <w:hyperlink w:anchor="_Toc512234647" w:history="1">
            <w:r w:rsidRPr="003822C3">
              <w:rPr>
                <w:rStyle w:val="Hipercze"/>
              </w:rPr>
              <w:t>1.</w:t>
            </w:r>
            <w:r>
              <w:rPr>
                <w:rFonts w:asciiTheme="minorHAnsi" w:hAnsiTheme="minorHAnsi" w:cstheme="minorBidi"/>
                <w:b w:val="0"/>
              </w:rPr>
              <w:tab/>
            </w:r>
            <w:r w:rsidRPr="003822C3">
              <w:rPr>
                <w:rStyle w:val="Hipercze"/>
              </w:rPr>
              <w:t>Rozdział - Słowniczek pojęć</w:t>
            </w:r>
            <w:r>
              <w:rPr>
                <w:webHidden/>
              </w:rPr>
              <w:tab/>
            </w:r>
            <w:r>
              <w:rPr>
                <w:webHidden/>
              </w:rPr>
              <w:fldChar w:fldCharType="begin"/>
            </w:r>
            <w:r>
              <w:rPr>
                <w:webHidden/>
              </w:rPr>
              <w:instrText xml:space="preserve"> PAGEREF _Toc512234647 \h </w:instrText>
            </w:r>
            <w:r>
              <w:rPr>
                <w:webHidden/>
              </w:rPr>
            </w:r>
            <w:r>
              <w:rPr>
                <w:webHidden/>
              </w:rPr>
              <w:fldChar w:fldCharType="separate"/>
            </w:r>
            <w:r>
              <w:rPr>
                <w:webHidden/>
              </w:rPr>
              <w:t>5</w:t>
            </w:r>
            <w:r>
              <w:rPr>
                <w:webHidden/>
              </w:rPr>
              <w:fldChar w:fldCharType="end"/>
            </w:r>
          </w:hyperlink>
        </w:p>
        <w:p w:rsidR="008F6EE9" w:rsidRDefault="008F6EE9">
          <w:pPr>
            <w:pStyle w:val="Spistreci1"/>
            <w:rPr>
              <w:rFonts w:asciiTheme="minorHAnsi" w:hAnsiTheme="minorHAnsi" w:cstheme="minorBidi"/>
              <w:b w:val="0"/>
            </w:rPr>
          </w:pPr>
          <w:hyperlink w:anchor="_Toc512234648" w:history="1">
            <w:r w:rsidRPr="003822C3">
              <w:rPr>
                <w:rStyle w:val="Hipercze"/>
              </w:rPr>
              <w:t>2.</w:t>
            </w:r>
            <w:r>
              <w:rPr>
                <w:rFonts w:asciiTheme="minorHAnsi" w:hAnsiTheme="minorHAnsi" w:cstheme="minorBidi"/>
                <w:b w:val="0"/>
              </w:rPr>
              <w:tab/>
            </w:r>
            <w:r w:rsidRPr="003822C3">
              <w:rPr>
                <w:rStyle w:val="Hipercze"/>
              </w:rPr>
              <w:t xml:space="preserve">Rozdział - Cel, zakres oraz obowiązywanie </w:t>
            </w:r>
            <w:r w:rsidRPr="003822C3">
              <w:rPr>
                <w:rStyle w:val="Hipercze"/>
                <w:i/>
              </w:rPr>
              <w:t>Katalogu</w:t>
            </w:r>
            <w:r>
              <w:rPr>
                <w:webHidden/>
              </w:rPr>
              <w:tab/>
            </w:r>
            <w:r>
              <w:rPr>
                <w:webHidden/>
              </w:rPr>
              <w:fldChar w:fldCharType="begin"/>
            </w:r>
            <w:r>
              <w:rPr>
                <w:webHidden/>
              </w:rPr>
              <w:instrText xml:space="preserve"> PAGEREF _Toc512234648 \h </w:instrText>
            </w:r>
            <w:r>
              <w:rPr>
                <w:webHidden/>
              </w:rPr>
            </w:r>
            <w:r>
              <w:rPr>
                <w:webHidden/>
              </w:rPr>
              <w:fldChar w:fldCharType="separate"/>
            </w:r>
            <w:r>
              <w:rPr>
                <w:webHidden/>
              </w:rPr>
              <w:t>12</w:t>
            </w:r>
            <w:r>
              <w:rPr>
                <w:webHidden/>
              </w:rPr>
              <w:fldChar w:fldCharType="end"/>
            </w:r>
          </w:hyperlink>
        </w:p>
        <w:p w:rsidR="008F6EE9" w:rsidRDefault="008F6EE9">
          <w:pPr>
            <w:pStyle w:val="Spistreci1"/>
            <w:rPr>
              <w:rFonts w:asciiTheme="minorHAnsi" w:hAnsiTheme="minorHAnsi" w:cstheme="minorBidi"/>
              <w:b w:val="0"/>
            </w:rPr>
          </w:pPr>
          <w:hyperlink w:anchor="_Toc512234649" w:history="1">
            <w:r w:rsidRPr="003822C3">
              <w:rPr>
                <w:rStyle w:val="Hipercze"/>
              </w:rPr>
              <w:t>3.</w:t>
            </w:r>
            <w:r>
              <w:rPr>
                <w:rFonts w:asciiTheme="minorHAnsi" w:hAnsiTheme="minorHAnsi" w:cstheme="minorBidi"/>
                <w:b w:val="0"/>
              </w:rPr>
              <w:tab/>
            </w:r>
            <w:r w:rsidRPr="003822C3">
              <w:rPr>
                <w:rStyle w:val="Hipercze"/>
              </w:rPr>
              <w:t>Rozdział - Wspólne warunki i procedury w zakresie kwalifikowalności wydatków</w:t>
            </w:r>
            <w:r>
              <w:rPr>
                <w:webHidden/>
              </w:rPr>
              <w:tab/>
            </w:r>
            <w:r>
              <w:rPr>
                <w:webHidden/>
              </w:rPr>
              <w:fldChar w:fldCharType="begin"/>
            </w:r>
            <w:r>
              <w:rPr>
                <w:webHidden/>
              </w:rPr>
              <w:instrText xml:space="preserve"> PAGEREF _Toc512234649 \h </w:instrText>
            </w:r>
            <w:r>
              <w:rPr>
                <w:webHidden/>
              </w:rPr>
            </w:r>
            <w:r>
              <w:rPr>
                <w:webHidden/>
              </w:rPr>
              <w:fldChar w:fldCharType="separate"/>
            </w:r>
            <w:r>
              <w:rPr>
                <w:webHidden/>
              </w:rPr>
              <w:t>14</w:t>
            </w:r>
            <w:r>
              <w:rPr>
                <w:webHidden/>
              </w:rPr>
              <w:fldChar w:fldCharType="end"/>
            </w:r>
          </w:hyperlink>
        </w:p>
        <w:p w:rsidR="008F6EE9" w:rsidRDefault="008F6EE9">
          <w:pPr>
            <w:pStyle w:val="Spistreci2"/>
            <w:tabs>
              <w:tab w:val="left" w:pos="880"/>
              <w:tab w:val="right" w:leader="dot" w:pos="9060"/>
            </w:tabs>
            <w:rPr>
              <w:noProof/>
            </w:rPr>
          </w:pPr>
          <w:hyperlink w:anchor="_Toc512234650" w:history="1">
            <w:r w:rsidRPr="003822C3">
              <w:rPr>
                <w:rStyle w:val="Hipercze"/>
                <w:rFonts w:ascii="Arial" w:hAnsi="Arial" w:cs="Arial"/>
                <w:i/>
                <w:noProof/>
              </w:rPr>
              <w:t>3.1</w:t>
            </w:r>
            <w:r>
              <w:rPr>
                <w:noProof/>
              </w:rPr>
              <w:tab/>
            </w:r>
            <w:r w:rsidRPr="003822C3">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_Toc512234650 \h </w:instrText>
            </w:r>
            <w:r>
              <w:rPr>
                <w:noProof/>
                <w:webHidden/>
              </w:rPr>
            </w:r>
            <w:r>
              <w:rPr>
                <w:noProof/>
                <w:webHidden/>
              </w:rPr>
              <w:fldChar w:fldCharType="separate"/>
            </w:r>
            <w:r>
              <w:rPr>
                <w:noProof/>
                <w:webHidden/>
              </w:rPr>
              <w:t>14</w:t>
            </w:r>
            <w:r>
              <w:rPr>
                <w:noProof/>
                <w:webHidden/>
              </w:rPr>
              <w:fldChar w:fldCharType="end"/>
            </w:r>
          </w:hyperlink>
        </w:p>
        <w:p w:rsidR="008F6EE9" w:rsidRDefault="008F6EE9">
          <w:pPr>
            <w:pStyle w:val="Spistreci2"/>
            <w:tabs>
              <w:tab w:val="left" w:pos="880"/>
              <w:tab w:val="right" w:leader="dot" w:pos="9060"/>
            </w:tabs>
            <w:rPr>
              <w:noProof/>
            </w:rPr>
          </w:pPr>
          <w:hyperlink w:anchor="_Toc512234651" w:history="1">
            <w:r w:rsidRPr="003822C3">
              <w:rPr>
                <w:rStyle w:val="Hipercze"/>
                <w:rFonts w:ascii="Arial" w:hAnsi="Arial" w:cs="Arial"/>
                <w:i/>
                <w:noProof/>
              </w:rPr>
              <w:t>3.2</w:t>
            </w:r>
            <w:r>
              <w:rPr>
                <w:noProof/>
              </w:rPr>
              <w:tab/>
            </w:r>
            <w:r w:rsidRPr="003822C3">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_Toc512234651 \h </w:instrText>
            </w:r>
            <w:r>
              <w:rPr>
                <w:noProof/>
                <w:webHidden/>
              </w:rPr>
            </w:r>
            <w:r>
              <w:rPr>
                <w:noProof/>
                <w:webHidden/>
              </w:rPr>
              <w:fldChar w:fldCharType="separate"/>
            </w:r>
            <w:r>
              <w:rPr>
                <w:noProof/>
                <w:webHidden/>
              </w:rPr>
              <w:t>14</w:t>
            </w:r>
            <w:r>
              <w:rPr>
                <w:noProof/>
                <w:webHidden/>
              </w:rPr>
              <w:fldChar w:fldCharType="end"/>
            </w:r>
          </w:hyperlink>
        </w:p>
        <w:p w:rsidR="008F6EE9" w:rsidRDefault="008F6EE9">
          <w:pPr>
            <w:pStyle w:val="Spistreci2"/>
            <w:tabs>
              <w:tab w:val="left" w:pos="880"/>
              <w:tab w:val="right" w:leader="dot" w:pos="9060"/>
            </w:tabs>
            <w:rPr>
              <w:noProof/>
            </w:rPr>
          </w:pPr>
          <w:hyperlink w:anchor="_Toc512234652" w:history="1">
            <w:r w:rsidRPr="003822C3">
              <w:rPr>
                <w:rStyle w:val="Hipercze"/>
                <w:rFonts w:ascii="Arial" w:hAnsi="Arial" w:cs="Arial"/>
                <w:i/>
                <w:noProof/>
              </w:rPr>
              <w:t>3.3</w:t>
            </w:r>
            <w:r>
              <w:rPr>
                <w:noProof/>
              </w:rPr>
              <w:tab/>
            </w:r>
            <w:r w:rsidRPr="003822C3">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_Toc512234652 \h </w:instrText>
            </w:r>
            <w:r>
              <w:rPr>
                <w:noProof/>
                <w:webHidden/>
              </w:rPr>
            </w:r>
            <w:r>
              <w:rPr>
                <w:noProof/>
                <w:webHidden/>
              </w:rPr>
              <w:fldChar w:fldCharType="separate"/>
            </w:r>
            <w:r>
              <w:rPr>
                <w:noProof/>
                <w:webHidden/>
              </w:rPr>
              <w:t>14</w:t>
            </w:r>
            <w:r>
              <w:rPr>
                <w:noProof/>
                <w:webHidden/>
              </w:rPr>
              <w:fldChar w:fldCharType="end"/>
            </w:r>
          </w:hyperlink>
        </w:p>
        <w:p w:rsidR="008F6EE9" w:rsidRDefault="008F6EE9">
          <w:pPr>
            <w:pStyle w:val="Spistreci2"/>
            <w:tabs>
              <w:tab w:val="left" w:pos="880"/>
              <w:tab w:val="right" w:leader="dot" w:pos="9060"/>
            </w:tabs>
            <w:rPr>
              <w:noProof/>
            </w:rPr>
          </w:pPr>
          <w:hyperlink w:anchor="_Toc512234653" w:history="1">
            <w:r w:rsidRPr="003822C3">
              <w:rPr>
                <w:rStyle w:val="Hipercze"/>
                <w:rFonts w:ascii="Arial" w:hAnsi="Arial" w:cs="Arial"/>
                <w:i/>
                <w:noProof/>
              </w:rPr>
              <w:t>3.4</w:t>
            </w:r>
            <w:r>
              <w:rPr>
                <w:noProof/>
              </w:rPr>
              <w:tab/>
            </w:r>
            <w:r w:rsidRPr="003822C3">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_Toc512234653 \h </w:instrText>
            </w:r>
            <w:r>
              <w:rPr>
                <w:noProof/>
                <w:webHidden/>
              </w:rPr>
            </w:r>
            <w:r>
              <w:rPr>
                <w:noProof/>
                <w:webHidden/>
              </w:rPr>
              <w:fldChar w:fldCharType="separate"/>
            </w:r>
            <w:r>
              <w:rPr>
                <w:noProof/>
                <w:webHidden/>
              </w:rPr>
              <w:t>21</w:t>
            </w:r>
            <w:r>
              <w:rPr>
                <w:noProof/>
                <w:webHidden/>
              </w:rPr>
              <w:fldChar w:fldCharType="end"/>
            </w:r>
          </w:hyperlink>
        </w:p>
        <w:p w:rsidR="008F6EE9" w:rsidRDefault="008F6EE9">
          <w:pPr>
            <w:pStyle w:val="Spistreci2"/>
            <w:tabs>
              <w:tab w:val="left" w:pos="880"/>
              <w:tab w:val="right" w:leader="dot" w:pos="9060"/>
            </w:tabs>
            <w:rPr>
              <w:noProof/>
            </w:rPr>
          </w:pPr>
          <w:hyperlink w:anchor="_Toc512234654" w:history="1">
            <w:r w:rsidRPr="003822C3">
              <w:rPr>
                <w:rStyle w:val="Hipercze"/>
                <w:rFonts w:ascii="Arial" w:hAnsi="Arial" w:cs="Arial"/>
                <w:i/>
                <w:noProof/>
              </w:rPr>
              <w:t>3.5</w:t>
            </w:r>
            <w:r>
              <w:rPr>
                <w:noProof/>
              </w:rPr>
              <w:tab/>
            </w:r>
            <w:r w:rsidRPr="003822C3">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_Toc512234654 \h </w:instrText>
            </w:r>
            <w:r>
              <w:rPr>
                <w:noProof/>
                <w:webHidden/>
              </w:rPr>
            </w:r>
            <w:r>
              <w:rPr>
                <w:noProof/>
                <w:webHidden/>
              </w:rPr>
              <w:fldChar w:fldCharType="separate"/>
            </w:r>
            <w:r>
              <w:rPr>
                <w:noProof/>
                <w:webHidden/>
              </w:rPr>
              <w:t>25</w:t>
            </w:r>
            <w:r>
              <w:rPr>
                <w:noProof/>
                <w:webHidden/>
              </w:rPr>
              <w:fldChar w:fldCharType="end"/>
            </w:r>
          </w:hyperlink>
        </w:p>
        <w:p w:rsidR="008F6EE9" w:rsidRDefault="008F6EE9">
          <w:pPr>
            <w:pStyle w:val="Spistreci2"/>
            <w:tabs>
              <w:tab w:val="left" w:pos="880"/>
              <w:tab w:val="right" w:leader="dot" w:pos="9060"/>
            </w:tabs>
            <w:rPr>
              <w:noProof/>
            </w:rPr>
          </w:pPr>
          <w:hyperlink w:anchor="_Toc512234655" w:history="1">
            <w:r w:rsidRPr="003822C3">
              <w:rPr>
                <w:rStyle w:val="Hipercze"/>
                <w:rFonts w:ascii="Arial" w:hAnsi="Arial" w:cs="Arial"/>
                <w:i/>
                <w:noProof/>
              </w:rPr>
              <w:t>3.6</w:t>
            </w:r>
            <w:r>
              <w:rPr>
                <w:noProof/>
              </w:rPr>
              <w:tab/>
            </w:r>
            <w:r w:rsidRPr="003822C3">
              <w:rPr>
                <w:rStyle w:val="Hipercze"/>
                <w:rFonts w:ascii="Arial" w:hAnsi="Arial" w:cs="Arial"/>
                <w:i/>
                <w:noProof/>
              </w:rPr>
              <w:t>Leasing</w:t>
            </w:r>
            <w:r>
              <w:rPr>
                <w:noProof/>
                <w:webHidden/>
              </w:rPr>
              <w:tab/>
            </w:r>
            <w:r>
              <w:rPr>
                <w:noProof/>
                <w:webHidden/>
              </w:rPr>
              <w:fldChar w:fldCharType="begin"/>
            </w:r>
            <w:r>
              <w:rPr>
                <w:noProof/>
                <w:webHidden/>
              </w:rPr>
              <w:instrText xml:space="preserve"> PAGEREF _Toc512234655 \h </w:instrText>
            </w:r>
            <w:r>
              <w:rPr>
                <w:noProof/>
                <w:webHidden/>
              </w:rPr>
            </w:r>
            <w:r>
              <w:rPr>
                <w:noProof/>
                <w:webHidden/>
              </w:rPr>
              <w:fldChar w:fldCharType="separate"/>
            </w:r>
            <w:r>
              <w:rPr>
                <w:noProof/>
                <w:webHidden/>
              </w:rPr>
              <w:t>25</w:t>
            </w:r>
            <w:r>
              <w:rPr>
                <w:noProof/>
                <w:webHidden/>
              </w:rPr>
              <w:fldChar w:fldCharType="end"/>
            </w:r>
          </w:hyperlink>
        </w:p>
        <w:p w:rsidR="008F6EE9" w:rsidRDefault="008F6EE9">
          <w:pPr>
            <w:pStyle w:val="Spistreci2"/>
            <w:tabs>
              <w:tab w:val="left" w:pos="880"/>
              <w:tab w:val="right" w:leader="dot" w:pos="9060"/>
            </w:tabs>
            <w:rPr>
              <w:noProof/>
            </w:rPr>
          </w:pPr>
          <w:hyperlink w:anchor="_Toc512234656" w:history="1">
            <w:r w:rsidRPr="003822C3">
              <w:rPr>
                <w:rStyle w:val="Hipercze"/>
                <w:rFonts w:ascii="Arial" w:hAnsi="Arial" w:cs="Arial"/>
                <w:i/>
                <w:noProof/>
              </w:rPr>
              <w:t>3.7</w:t>
            </w:r>
            <w:r>
              <w:rPr>
                <w:noProof/>
              </w:rPr>
              <w:tab/>
            </w:r>
            <w:r w:rsidRPr="003822C3">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_Toc512234656 \h </w:instrText>
            </w:r>
            <w:r>
              <w:rPr>
                <w:noProof/>
                <w:webHidden/>
              </w:rPr>
            </w:r>
            <w:r>
              <w:rPr>
                <w:noProof/>
                <w:webHidden/>
              </w:rPr>
              <w:fldChar w:fldCharType="separate"/>
            </w:r>
            <w:r>
              <w:rPr>
                <w:noProof/>
                <w:webHidden/>
              </w:rPr>
              <w:t>26</w:t>
            </w:r>
            <w:r>
              <w:rPr>
                <w:noProof/>
                <w:webHidden/>
              </w:rPr>
              <w:fldChar w:fldCharType="end"/>
            </w:r>
          </w:hyperlink>
        </w:p>
        <w:p w:rsidR="008F6EE9" w:rsidRDefault="008F6EE9">
          <w:pPr>
            <w:pStyle w:val="Spistreci2"/>
            <w:tabs>
              <w:tab w:val="left" w:pos="880"/>
              <w:tab w:val="right" w:leader="dot" w:pos="9060"/>
            </w:tabs>
            <w:rPr>
              <w:noProof/>
            </w:rPr>
          </w:pPr>
          <w:hyperlink w:anchor="_Toc512234657" w:history="1">
            <w:r w:rsidRPr="003822C3">
              <w:rPr>
                <w:rStyle w:val="Hipercze"/>
                <w:rFonts w:ascii="Arial" w:hAnsi="Arial" w:cs="Arial"/>
                <w:i/>
                <w:noProof/>
              </w:rPr>
              <w:t>3.8</w:t>
            </w:r>
            <w:r>
              <w:rPr>
                <w:noProof/>
              </w:rPr>
              <w:tab/>
            </w:r>
            <w:r w:rsidRPr="003822C3">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_Toc512234657 \h </w:instrText>
            </w:r>
            <w:r>
              <w:rPr>
                <w:noProof/>
                <w:webHidden/>
              </w:rPr>
            </w:r>
            <w:r>
              <w:rPr>
                <w:noProof/>
                <w:webHidden/>
              </w:rPr>
              <w:fldChar w:fldCharType="separate"/>
            </w:r>
            <w:r>
              <w:rPr>
                <w:noProof/>
                <w:webHidden/>
              </w:rPr>
              <w:t>26</w:t>
            </w:r>
            <w:r>
              <w:rPr>
                <w:noProof/>
                <w:webHidden/>
              </w:rPr>
              <w:fldChar w:fldCharType="end"/>
            </w:r>
          </w:hyperlink>
        </w:p>
        <w:p w:rsidR="008F6EE9" w:rsidRDefault="008F6EE9">
          <w:pPr>
            <w:pStyle w:val="Spistreci2"/>
            <w:tabs>
              <w:tab w:val="left" w:pos="880"/>
              <w:tab w:val="right" w:leader="dot" w:pos="9060"/>
            </w:tabs>
            <w:rPr>
              <w:noProof/>
            </w:rPr>
          </w:pPr>
          <w:hyperlink w:anchor="_Toc512234658" w:history="1">
            <w:r w:rsidRPr="003822C3">
              <w:rPr>
                <w:rStyle w:val="Hipercze"/>
                <w:rFonts w:ascii="Arial" w:hAnsi="Arial" w:cs="Arial"/>
                <w:i/>
                <w:noProof/>
              </w:rPr>
              <w:t>3.9</w:t>
            </w:r>
            <w:r>
              <w:rPr>
                <w:noProof/>
              </w:rPr>
              <w:tab/>
            </w:r>
            <w:r w:rsidRPr="003822C3">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_Toc512234658 \h </w:instrText>
            </w:r>
            <w:r>
              <w:rPr>
                <w:noProof/>
                <w:webHidden/>
              </w:rPr>
            </w:r>
            <w:r>
              <w:rPr>
                <w:noProof/>
                <w:webHidden/>
              </w:rPr>
              <w:fldChar w:fldCharType="separate"/>
            </w:r>
            <w:r>
              <w:rPr>
                <w:noProof/>
                <w:webHidden/>
              </w:rPr>
              <w:t>26</w:t>
            </w:r>
            <w:r>
              <w:rPr>
                <w:noProof/>
                <w:webHidden/>
              </w:rPr>
              <w:fldChar w:fldCharType="end"/>
            </w:r>
          </w:hyperlink>
        </w:p>
        <w:p w:rsidR="008F6EE9" w:rsidRDefault="008F6EE9">
          <w:pPr>
            <w:pStyle w:val="Spistreci2"/>
            <w:tabs>
              <w:tab w:val="left" w:pos="880"/>
              <w:tab w:val="right" w:leader="dot" w:pos="9060"/>
            </w:tabs>
            <w:rPr>
              <w:noProof/>
            </w:rPr>
          </w:pPr>
          <w:hyperlink w:anchor="_Toc512234659" w:history="1">
            <w:r w:rsidRPr="003822C3">
              <w:rPr>
                <w:rStyle w:val="Hipercze"/>
                <w:rFonts w:ascii="Arial" w:hAnsi="Arial" w:cs="Arial"/>
                <w:i/>
                <w:noProof/>
              </w:rPr>
              <w:t>3.10</w:t>
            </w:r>
            <w:r>
              <w:rPr>
                <w:noProof/>
              </w:rPr>
              <w:tab/>
            </w:r>
            <w:r w:rsidRPr="003822C3">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_Toc512234659 \h </w:instrText>
            </w:r>
            <w:r>
              <w:rPr>
                <w:noProof/>
                <w:webHidden/>
              </w:rPr>
            </w:r>
            <w:r>
              <w:rPr>
                <w:noProof/>
                <w:webHidden/>
              </w:rPr>
              <w:fldChar w:fldCharType="separate"/>
            </w:r>
            <w:r>
              <w:rPr>
                <w:noProof/>
                <w:webHidden/>
              </w:rPr>
              <w:t>26</w:t>
            </w:r>
            <w:r>
              <w:rPr>
                <w:noProof/>
                <w:webHidden/>
              </w:rPr>
              <w:fldChar w:fldCharType="end"/>
            </w:r>
          </w:hyperlink>
        </w:p>
        <w:p w:rsidR="008F6EE9" w:rsidRDefault="008F6EE9">
          <w:pPr>
            <w:pStyle w:val="Spistreci2"/>
            <w:tabs>
              <w:tab w:val="left" w:pos="880"/>
              <w:tab w:val="right" w:leader="dot" w:pos="9060"/>
            </w:tabs>
            <w:rPr>
              <w:noProof/>
            </w:rPr>
          </w:pPr>
          <w:hyperlink w:anchor="_Toc512234660" w:history="1">
            <w:r w:rsidRPr="003822C3">
              <w:rPr>
                <w:rStyle w:val="Hipercze"/>
                <w:rFonts w:ascii="Arial" w:hAnsi="Arial" w:cs="Arial"/>
                <w:i/>
                <w:noProof/>
              </w:rPr>
              <w:t>3.11</w:t>
            </w:r>
            <w:r>
              <w:rPr>
                <w:noProof/>
              </w:rPr>
              <w:tab/>
            </w:r>
            <w:r w:rsidRPr="003822C3">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_Toc512234660 \h </w:instrText>
            </w:r>
            <w:r>
              <w:rPr>
                <w:noProof/>
                <w:webHidden/>
              </w:rPr>
            </w:r>
            <w:r>
              <w:rPr>
                <w:noProof/>
                <w:webHidden/>
              </w:rPr>
              <w:fldChar w:fldCharType="separate"/>
            </w:r>
            <w:r>
              <w:rPr>
                <w:noProof/>
                <w:webHidden/>
              </w:rPr>
              <w:t>27</w:t>
            </w:r>
            <w:r>
              <w:rPr>
                <w:noProof/>
                <w:webHidden/>
              </w:rPr>
              <w:fldChar w:fldCharType="end"/>
            </w:r>
          </w:hyperlink>
        </w:p>
        <w:p w:rsidR="008F6EE9" w:rsidRDefault="008F6EE9">
          <w:pPr>
            <w:pStyle w:val="Spistreci2"/>
            <w:tabs>
              <w:tab w:val="left" w:pos="880"/>
              <w:tab w:val="right" w:leader="dot" w:pos="9060"/>
            </w:tabs>
            <w:rPr>
              <w:noProof/>
            </w:rPr>
          </w:pPr>
          <w:hyperlink w:anchor="_Toc512234661" w:history="1">
            <w:r w:rsidRPr="003822C3">
              <w:rPr>
                <w:rStyle w:val="Hipercze"/>
                <w:rFonts w:ascii="Arial" w:hAnsi="Arial" w:cs="Arial"/>
                <w:i/>
                <w:noProof/>
              </w:rPr>
              <w:t>3.12</w:t>
            </w:r>
            <w:r>
              <w:rPr>
                <w:noProof/>
              </w:rPr>
              <w:tab/>
            </w:r>
            <w:r w:rsidRPr="003822C3">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_Toc512234661 \h </w:instrText>
            </w:r>
            <w:r>
              <w:rPr>
                <w:noProof/>
                <w:webHidden/>
              </w:rPr>
            </w:r>
            <w:r>
              <w:rPr>
                <w:noProof/>
                <w:webHidden/>
              </w:rPr>
              <w:fldChar w:fldCharType="separate"/>
            </w:r>
            <w:r>
              <w:rPr>
                <w:noProof/>
                <w:webHidden/>
              </w:rPr>
              <w:t>28</w:t>
            </w:r>
            <w:r>
              <w:rPr>
                <w:noProof/>
                <w:webHidden/>
              </w:rPr>
              <w:fldChar w:fldCharType="end"/>
            </w:r>
          </w:hyperlink>
        </w:p>
        <w:p w:rsidR="008F6EE9" w:rsidRDefault="008F6EE9">
          <w:pPr>
            <w:pStyle w:val="Spistreci2"/>
            <w:tabs>
              <w:tab w:val="left" w:pos="880"/>
              <w:tab w:val="right" w:leader="dot" w:pos="9060"/>
            </w:tabs>
            <w:rPr>
              <w:noProof/>
            </w:rPr>
          </w:pPr>
          <w:hyperlink w:anchor="_Toc512234662" w:history="1">
            <w:r w:rsidRPr="003822C3">
              <w:rPr>
                <w:rStyle w:val="Hipercze"/>
                <w:rFonts w:ascii="Arial" w:hAnsi="Arial" w:cs="Arial"/>
                <w:i/>
                <w:noProof/>
              </w:rPr>
              <w:t>3.13</w:t>
            </w:r>
            <w:r>
              <w:rPr>
                <w:noProof/>
              </w:rPr>
              <w:tab/>
            </w:r>
            <w:r w:rsidRPr="003822C3">
              <w:rPr>
                <w:rStyle w:val="Hipercze"/>
                <w:rFonts w:ascii="Arial" w:hAnsi="Arial" w:cs="Arial"/>
                <w:i/>
                <w:noProof/>
              </w:rPr>
              <w:t>Zasady kwalifikowalności wydatków w ramach instrumentów finansowych</w:t>
            </w:r>
            <w:r>
              <w:rPr>
                <w:noProof/>
                <w:webHidden/>
              </w:rPr>
              <w:tab/>
            </w:r>
            <w:r>
              <w:rPr>
                <w:noProof/>
                <w:webHidden/>
              </w:rPr>
              <w:fldChar w:fldCharType="begin"/>
            </w:r>
            <w:r>
              <w:rPr>
                <w:noProof/>
                <w:webHidden/>
              </w:rPr>
              <w:instrText xml:space="preserve"> PAGEREF _Toc512234662 \h </w:instrText>
            </w:r>
            <w:r>
              <w:rPr>
                <w:noProof/>
                <w:webHidden/>
              </w:rPr>
            </w:r>
            <w:r>
              <w:rPr>
                <w:noProof/>
                <w:webHidden/>
              </w:rPr>
              <w:fldChar w:fldCharType="separate"/>
            </w:r>
            <w:r>
              <w:rPr>
                <w:noProof/>
                <w:webHidden/>
              </w:rPr>
              <w:t>30</w:t>
            </w:r>
            <w:r>
              <w:rPr>
                <w:noProof/>
                <w:webHidden/>
              </w:rPr>
              <w:fldChar w:fldCharType="end"/>
            </w:r>
          </w:hyperlink>
        </w:p>
        <w:p w:rsidR="008F6EE9" w:rsidRDefault="008F6EE9">
          <w:pPr>
            <w:pStyle w:val="Spistreci1"/>
            <w:rPr>
              <w:rFonts w:asciiTheme="minorHAnsi" w:hAnsiTheme="minorHAnsi" w:cstheme="minorBidi"/>
              <w:b w:val="0"/>
            </w:rPr>
          </w:pPr>
          <w:hyperlink w:anchor="_Toc512234663" w:history="1">
            <w:r w:rsidRPr="003822C3">
              <w:rPr>
                <w:rStyle w:val="Hipercze"/>
              </w:rPr>
              <w:t>4.</w:t>
            </w:r>
            <w:r>
              <w:rPr>
                <w:rFonts w:asciiTheme="minorHAnsi" w:hAnsiTheme="minorHAnsi" w:cstheme="minorBidi"/>
                <w:b w:val="0"/>
              </w:rPr>
              <w:tab/>
            </w:r>
            <w:r w:rsidRPr="003822C3">
              <w:rPr>
                <w:rStyle w:val="Hipercze"/>
              </w:rPr>
              <w:t>Rozdział – Oś priorytetowa I. Powszechny dostęp do szybkiego internetu – szczegółowe zasady kwalifikowalności wydatków w ramach EFRR</w:t>
            </w:r>
            <w:r>
              <w:rPr>
                <w:webHidden/>
              </w:rPr>
              <w:tab/>
            </w:r>
            <w:r>
              <w:rPr>
                <w:webHidden/>
              </w:rPr>
              <w:fldChar w:fldCharType="begin"/>
            </w:r>
            <w:r>
              <w:rPr>
                <w:webHidden/>
              </w:rPr>
              <w:instrText xml:space="preserve"> PAGEREF _Toc512234663 \h </w:instrText>
            </w:r>
            <w:r>
              <w:rPr>
                <w:webHidden/>
              </w:rPr>
            </w:r>
            <w:r>
              <w:rPr>
                <w:webHidden/>
              </w:rPr>
              <w:fldChar w:fldCharType="separate"/>
            </w:r>
            <w:r>
              <w:rPr>
                <w:webHidden/>
              </w:rPr>
              <w:t>31</w:t>
            </w:r>
            <w:r>
              <w:rPr>
                <w:webHidden/>
              </w:rPr>
              <w:fldChar w:fldCharType="end"/>
            </w:r>
          </w:hyperlink>
        </w:p>
        <w:p w:rsidR="008F6EE9" w:rsidRDefault="008F6EE9">
          <w:pPr>
            <w:pStyle w:val="Spistreci2"/>
            <w:tabs>
              <w:tab w:val="left" w:pos="880"/>
              <w:tab w:val="right" w:leader="dot" w:pos="9060"/>
            </w:tabs>
            <w:rPr>
              <w:noProof/>
            </w:rPr>
          </w:pPr>
          <w:hyperlink w:anchor="_Toc512234664" w:history="1">
            <w:r w:rsidRPr="003822C3">
              <w:rPr>
                <w:rStyle w:val="Hipercze"/>
                <w:rFonts w:ascii="Arial" w:hAnsi="Arial" w:cs="Arial"/>
                <w:i/>
                <w:noProof/>
              </w:rPr>
              <w:t>4.1</w:t>
            </w:r>
            <w:r>
              <w:rPr>
                <w:noProof/>
              </w:rPr>
              <w:tab/>
            </w:r>
            <w:r w:rsidRPr="003822C3">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Pr>
                <w:noProof/>
                <w:webHidden/>
              </w:rPr>
              <w:tab/>
            </w:r>
            <w:r>
              <w:rPr>
                <w:noProof/>
                <w:webHidden/>
              </w:rPr>
              <w:fldChar w:fldCharType="begin"/>
            </w:r>
            <w:r>
              <w:rPr>
                <w:noProof/>
                <w:webHidden/>
              </w:rPr>
              <w:instrText xml:space="preserve"> PAGEREF _Toc512234664 \h </w:instrText>
            </w:r>
            <w:r>
              <w:rPr>
                <w:noProof/>
                <w:webHidden/>
              </w:rPr>
            </w:r>
            <w:r>
              <w:rPr>
                <w:noProof/>
                <w:webHidden/>
              </w:rPr>
              <w:fldChar w:fldCharType="separate"/>
            </w:r>
            <w:r>
              <w:rPr>
                <w:noProof/>
                <w:webHidden/>
              </w:rPr>
              <w:t>31</w:t>
            </w:r>
            <w:r>
              <w:rPr>
                <w:noProof/>
                <w:webHidden/>
              </w:rPr>
              <w:fldChar w:fldCharType="end"/>
            </w:r>
          </w:hyperlink>
        </w:p>
        <w:p w:rsidR="008F6EE9" w:rsidRDefault="008F6EE9">
          <w:pPr>
            <w:pStyle w:val="Spistreci2"/>
            <w:tabs>
              <w:tab w:val="left" w:pos="1100"/>
              <w:tab w:val="right" w:leader="dot" w:pos="9060"/>
            </w:tabs>
            <w:rPr>
              <w:noProof/>
            </w:rPr>
          </w:pPr>
          <w:hyperlink w:anchor="_Toc512234665" w:history="1">
            <w:r w:rsidRPr="003822C3">
              <w:rPr>
                <w:rStyle w:val="Hipercze"/>
                <w:rFonts w:ascii="Arial" w:hAnsi="Arial" w:cs="Arial"/>
                <w:i/>
                <w:noProof/>
              </w:rPr>
              <w:t>4.1.1</w:t>
            </w:r>
            <w:r>
              <w:rPr>
                <w:noProof/>
              </w:rPr>
              <w:tab/>
            </w:r>
            <w:r w:rsidRPr="003822C3">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_Toc512234665 \h </w:instrText>
            </w:r>
            <w:r>
              <w:rPr>
                <w:noProof/>
                <w:webHidden/>
              </w:rPr>
            </w:r>
            <w:r>
              <w:rPr>
                <w:noProof/>
                <w:webHidden/>
              </w:rPr>
              <w:fldChar w:fldCharType="separate"/>
            </w:r>
            <w:r>
              <w:rPr>
                <w:noProof/>
                <w:webHidden/>
              </w:rPr>
              <w:t>31</w:t>
            </w:r>
            <w:r>
              <w:rPr>
                <w:noProof/>
                <w:webHidden/>
              </w:rPr>
              <w:fldChar w:fldCharType="end"/>
            </w:r>
          </w:hyperlink>
        </w:p>
        <w:p w:rsidR="008F6EE9" w:rsidRDefault="008F6EE9">
          <w:pPr>
            <w:pStyle w:val="Spistreci3"/>
            <w:tabs>
              <w:tab w:val="left" w:pos="1320"/>
              <w:tab w:val="right" w:leader="dot" w:pos="9060"/>
            </w:tabs>
            <w:rPr>
              <w:noProof/>
            </w:rPr>
          </w:pPr>
          <w:hyperlink w:anchor="_Toc512234666" w:history="1">
            <w:r w:rsidRPr="003822C3">
              <w:rPr>
                <w:rStyle w:val="Hipercze"/>
                <w:rFonts w:ascii="Arial" w:eastAsiaTheme="majorEastAsia" w:hAnsi="Arial" w:cs="Arial"/>
                <w:bCs/>
                <w:i/>
                <w:noProof/>
              </w:rPr>
              <w:t>4.1.2</w:t>
            </w:r>
            <w:r>
              <w:rPr>
                <w:noProof/>
              </w:rPr>
              <w:tab/>
            </w:r>
            <w:r w:rsidRPr="003822C3">
              <w:rPr>
                <w:rStyle w:val="Hipercze"/>
                <w:rFonts w:ascii="Arial" w:eastAsiaTheme="majorEastAsia" w:hAnsi="Arial" w:cs="Arial"/>
                <w:bCs/>
                <w:i/>
                <w:noProof/>
              </w:rPr>
              <w:t>Kwalifikowalność wydatków w ramach pomocy na infrastrukturę szerokopasmową</w:t>
            </w:r>
            <w:r>
              <w:rPr>
                <w:noProof/>
                <w:webHidden/>
              </w:rPr>
              <w:tab/>
            </w:r>
            <w:r>
              <w:rPr>
                <w:noProof/>
                <w:webHidden/>
              </w:rPr>
              <w:fldChar w:fldCharType="begin"/>
            </w:r>
            <w:r>
              <w:rPr>
                <w:noProof/>
                <w:webHidden/>
              </w:rPr>
              <w:instrText xml:space="preserve"> PAGEREF _Toc512234666 \h </w:instrText>
            </w:r>
            <w:r>
              <w:rPr>
                <w:noProof/>
                <w:webHidden/>
              </w:rPr>
            </w:r>
            <w:r>
              <w:rPr>
                <w:noProof/>
                <w:webHidden/>
              </w:rPr>
              <w:fldChar w:fldCharType="separate"/>
            </w:r>
            <w:r>
              <w:rPr>
                <w:noProof/>
                <w:webHidden/>
              </w:rPr>
              <w:t>33</w:t>
            </w:r>
            <w:r>
              <w:rPr>
                <w:noProof/>
                <w:webHidden/>
              </w:rPr>
              <w:fldChar w:fldCharType="end"/>
            </w:r>
          </w:hyperlink>
        </w:p>
        <w:p w:rsidR="008F6EE9" w:rsidRDefault="008F6EE9">
          <w:pPr>
            <w:pStyle w:val="Spistreci3"/>
            <w:tabs>
              <w:tab w:val="left" w:pos="1320"/>
              <w:tab w:val="right" w:leader="dot" w:pos="9060"/>
            </w:tabs>
            <w:rPr>
              <w:noProof/>
            </w:rPr>
          </w:pPr>
          <w:hyperlink w:anchor="_Toc512234667" w:history="1">
            <w:r w:rsidRPr="003822C3">
              <w:rPr>
                <w:rStyle w:val="Hipercze"/>
                <w:rFonts w:ascii="Arial" w:eastAsiaTheme="majorEastAsia" w:hAnsi="Arial" w:cs="Arial"/>
                <w:bCs/>
                <w:i/>
                <w:noProof/>
              </w:rPr>
              <w:t>4.1.3</w:t>
            </w:r>
            <w:r>
              <w:rPr>
                <w:noProof/>
              </w:rPr>
              <w:tab/>
            </w:r>
            <w:r w:rsidRPr="003822C3">
              <w:rPr>
                <w:rStyle w:val="Hipercze"/>
                <w:rFonts w:ascii="Arial" w:eastAsiaTheme="majorEastAsia" w:hAnsi="Arial" w:cs="Arial"/>
                <w:bCs/>
                <w:i/>
                <w:noProof/>
              </w:rPr>
              <w:t>Kwalifikowalność wydatków w ramach pomocy de minimis</w:t>
            </w:r>
            <w:r>
              <w:rPr>
                <w:noProof/>
                <w:webHidden/>
              </w:rPr>
              <w:tab/>
            </w:r>
            <w:r>
              <w:rPr>
                <w:noProof/>
                <w:webHidden/>
              </w:rPr>
              <w:fldChar w:fldCharType="begin"/>
            </w:r>
            <w:r>
              <w:rPr>
                <w:noProof/>
                <w:webHidden/>
              </w:rPr>
              <w:instrText xml:space="preserve"> PAGEREF _Toc512234667 \h </w:instrText>
            </w:r>
            <w:r>
              <w:rPr>
                <w:noProof/>
                <w:webHidden/>
              </w:rPr>
            </w:r>
            <w:r>
              <w:rPr>
                <w:noProof/>
                <w:webHidden/>
              </w:rPr>
              <w:fldChar w:fldCharType="separate"/>
            </w:r>
            <w:r>
              <w:rPr>
                <w:noProof/>
                <w:webHidden/>
              </w:rPr>
              <w:t>38</w:t>
            </w:r>
            <w:r>
              <w:rPr>
                <w:noProof/>
                <w:webHidden/>
              </w:rPr>
              <w:fldChar w:fldCharType="end"/>
            </w:r>
          </w:hyperlink>
        </w:p>
        <w:p w:rsidR="008F6EE9" w:rsidRDefault="008F6EE9">
          <w:pPr>
            <w:pStyle w:val="Spistreci3"/>
            <w:tabs>
              <w:tab w:val="left" w:pos="1320"/>
              <w:tab w:val="right" w:leader="dot" w:pos="9060"/>
            </w:tabs>
            <w:rPr>
              <w:noProof/>
            </w:rPr>
          </w:pPr>
          <w:hyperlink w:anchor="_Toc512234668" w:history="1">
            <w:r w:rsidRPr="003822C3">
              <w:rPr>
                <w:rStyle w:val="Hipercze"/>
                <w:rFonts w:ascii="Arial" w:eastAsiaTheme="majorEastAsia" w:hAnsi="Arial" w:cs="Arial"/>
                <w:bCs/>
                <w:i/>
                <w:noProof/>
              </w:rPr>
              <w:t>4.1.4</w:t>
            </w:r>
            <w:r>
              <w:rPr>
                <w:noProof/>
              </w:rPr>
              <w:tab/>
            </w:r>
            <w:r w:rsidRPr="003822C3">
              <w:rPr>
                <w:rStyle w:val="Hipercze"/>
                <w:rFonts w:ascii="Arial" w:eastAsiaTheme="majorEastAsia" w:hAnsi="Arial" w:cs="Arial"/>
                <w:bCs/>
                <w:i/>
                <w:noProof/>
              </w:rPr>
              <w:t>Wydatki niekwalifikowalne</w:t>
            </w:r>
            <w:r>
              <w:rPr>
                <w:noProof/>
                <w:webHidden/>
              </w:rPr>
              <w:tab/>
            </w:r>
            <w:r>
              <w:rPr>
                <w:noProof/>
                <w:webHidden/>
              </w:rPr>
              <w:fldChar w:fldCharType="begin"/>
            </w:r>
            <w:r>
              <w:rPr>
                <w:noProof/>
                <w:webHidden/>
              </w:rPr>
              <w:instrText xml:space="preserve"> PAGEREF _Toc512234668 \h </w:instrText>
            </w:r>
            <w:r>
              <w:rPr>
                <w:noProof/>
                <w:webHidden/>
              </w:rPr>
            </w:r>
            <w:r>
              <w:rPr>
                <w:noProof/>
                <w:webHidden/>
              </w:rPr>
              <w:fldChar w:fldCharType="separate"/>
            </w:r>
            <w:r>
              <w:rPr>
                <w:noProof/>
                <w:webHidden/>
              </w:rPr>
              <w:t>38</w:t>
            </w:r>
            <w:r>
              <w:rPr>
                <w:noProof/>
                <w:webHidden/>
              </w:rPr>
              <w:fldChar w:fldCharType="end"/>
            </w:r>
          </w:hyperlink>
        </w:p>
        <w:p w:rsidR="008F6EE9" w:rsidRDefault="008F6EE9">
          <w:pPr>
            <w:pStyle w:val="Spistreci3"/>
            <w:tabs>
              <w:tab w:val="left" w:pos="1320"/>
              <w:tab w:val="right" w:leader="dot" w:pos="9060"/>
            </w:tabs>
            <w:rPr>
              <w:noProof/>
            </w:rPr>
          </w:pPr>
          <w:hyperlink w:anchor="_Toc512234669" w:history="1">
            <w:r w:rsidRPr="003822C3">
              <w:rPr>
                <w:rStyle w:val="Hipercze"/>
                <w:rFonts w:ascii="Arial" w:eastAsiaTheme="majorEastAsia" w:hAnsi="Arial" w:cs="Arial"/>
                <w:bCs/>
                <w:i/>
                <w:noProof/>
              </w:rPr>
              <w:t>4.1.5</w:t>
            </w:r>
            <w:r>
              <w:rPr>
                <w:noProof/>
              </w:rPr>
              <w:tab/>
            </w:r>
            <w:r w:rsidRPr="003822C3">
              <w:rPr>
                <w:rStyle w:val="Hipercze"/>
                <w:rFonts w:ascii="Arial" w:eastAsiaTheme="majorEastAsia" w:hAnsi="Arial" w:cs="Arial"/>
                <w:bCs/>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_Toc512234669 \h </w:instrText>
            </w:r>
            <w:r>
              <w:rPr>
                <w:noProof/>
                <w:webHidden/>
              </w:rPr>
            </w:r>
            <w:r>
              <w:rPr>
                <w:noProof/>
                <w:webHidden/>
              </w:rPr>
              <w:fldChar w:fldCharType="separate"/>
            </w:r>
            <w:r>
              <w:rPr>
                <w:noProof/>
                <w:webHidden/>
              </w:rPr>
              <w:t>41</w:t>
            </w:r>
            <w:r>
              <w:rPr>
                <w:noProof/>
                <w:webHidden/>
              </w:rPr>
              <w:fldChar w:fldCharType="end"/>
            </w:r>
          </w:hyperlink>
        </w:p>
        <w:p w:rsidR="008F6EE9" w:rsidRDefault="008F6EE9">
          <w:pPr>
            <w:pStyle w:val="Spistreci2"/>
            <w:tabs>
              <w:tab w:val="left" w:pos="880"/>
              <w:tab w:val="right" w:leader="dot" w:pos="9060"/>
            </w:tabs>
            <w:rPr>
              <w:noProof/>
            </w:rPr>
          </w:pPr>
          <w:hyperlink w:anchor="_Toc512234670" w:history="1">
            <w:r w:rsidRPr="003822C3">
              <w:rPr>
                <w:rStyle w:val="Hipercze"/>
                <w:rFonts w:ascii="Arial" w:hAnsi="Arial" w:cs="Arial"/>
                <w:i/>
                <w:noProof/>
              </w:rPr>
              <w:t>4.3</w:t>
            </w:r>
            <w:r>
              <w:rPr>
                <w:noProof/>
              </w:rPr>
              <w:tab/>
            </w:r>
            <w:r w:rsidRPr="003822C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POPC.01.01.00-IP.01-00-002/16</w:t>
            </w:r>
            <w:r>
              <w:rPr>
                <w:noProof/>
                <w:webHidden/>
              </w:rPr>
              <w:tab/>
            </w:r>
            <w:r>
              <w:rPr>
                <w:noProof/>
                <w:webHidden/>
              </w:rPr>
              <w:fldChar w:fldCharType="begin"/>
            </w:r>
            <w:r>
              <w:rPr>
                <w:noProof/>
                <w:webHidden/>
              </w:rPr>
              <w:instrText xml:space="preserve"> PAGEREF _Toc512234670 \h </w:instrText>
            </w:r>
            <w:r>
              <w:rPr>
                <w:noProof/>
                <w:webHidden/>
              </w:rPr>
            </w:r>
            <w:r>
              <w:rPr>
                <w:noProof/>
                <w:webHidden/>
              </w:rPr>
              <w:fldChar w:fldCharType="separate"/>
            </w:r>
            <w:r>
              <w:rPr>
                <w:noProof/>
                <w:webHidden/>
              </w:rPr>
              <w:t>42</w:t>
            </w:r>
            <w:r>
              <w:rPr>
                <w:noProof/>
                <w:webHidden/>
              </w:rPr>
              <w:fldChar w:fldCharType="end"/>
            </w:r>
          </w:hyperlink>
        </w:p>
        <w:p w:rsidR="008F6EE9" w:rsidRDefault="008F6EE9">
          <w:pPr>
            <w:pStyle w:val="Spistreci2"/>
            <w:tabs>
              <w:tab w:val="left" w:pos="1100"/>
              <w:tab w:val="right" w:leader="dot" w:pos="9060"/>
            </w:tabs>
            <w:rPr>
              <w:noProof/>
            </w:rPr>
          </w:pPr>
          <w:hyperlink w:anchor="_Toc512234671" w:history="1">
            <w:r w:rsidRPr="003822C3">
              <w:rPr>
                <w:rStyle w:val="Hipercze"/>
                <w:rFonts w:ascii="Arial" w:hAnsi="Arial" w:cs="Arial"/>
                <w:i/>
                <w:noProof/>
              </w:rPr>
              <w:t>4.3.1</w:t>
            </w:r>
            <w:r>
              <w:rPr>
                <w:noProof/>
              </w:rPr>
              <w:tab/>
            </w:r>
            <w:r w:rsidRPr="003822C3">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_Toc512234671 \h </w:instrText>
            </w:r>
            <w:r>
              <w:rPr>
                <w:noProof/>
                <w:webHidden/>
              </w:rPr>
            </w:r>
            <w:r>
              <w:rPr>
                <w:noProof/>
                <w:webHidden/>
              </w:rPr>
              <w:fldChar w:fldCharType="separate"/>
            </w:r>
            <w:r>
              <w:rPr>
                <w:noProof/>
                <w:webHidden/>
              </w:rPr>
              <w:t>42</w:t>
            </w:r>
            <w:r>
              <w:rPr>
                <w:noProof/>
                <w:webHidden/>
              </w:rPr>
              <w:fldChar w:fldCharType="end"/>
            </w:r>
          </w:hyperlink>
        </w:p>
        <w:p w:rsidR="008F6EE9" w:rsidRDefault="008F6EE9">
          <w:pPr>
            <w:pStyle w:val="Spistreci2"/>
            <w:tabs>
              <w:tab w:val="left" w:pos="1100"/>
              <w:tab w:val="right" w:leader="dot" w:pos="9060"/>
            </w:tabs>
            <w:rPr>
              <w:noProof/>
            </w:rPr>
          </w:pPr>
          <w:hyperlink w:anchor="_Toc512234672" w:history="1">
            <w:r w:rsidRPr="003822C3">
              <w:rPr>
                <w:rStyle w:val="Hipercze"/>
                <w:rFonts w:ascii="Arial" w:hAnsi="Arial" w:cs="Arial"/>
                <w:i/>
                <w:noProof/>
              </w:rPr>
              <w:t>4.3.2</w:t>
            </w:r>
            <w:r>
              <w:rPr>
                <w:noProof/>
              </w:rPr>
              <w:tab/>
            </w:r>
            <w:r w:rsidRPr="003822C3">
              <w:rPr>
                <w:rStyle w:val="Hipercze"/>
                <w:rFonts w:ascii="Arial" w:hAnsi="Arial" w:cs="Arial"/>
                <w:i/>
                <w:noProof/>
              </w:rPr>
              <w:t>Kwalifikowalność wydatków w ramach pomocy na infrastrukturę szerokopasmową</w:t>
            </w:r>
            <w:r>
              <w:rPr>
                <w:noProof/>
                <w:webHidden/>
              </w:rPr>
              <w:tab/>
            </w:r>
            <w:r>
              <w:rPr>
                <w:noProof/>
                <w:webHidden/>
              </w:rPr>
              <w:fldChar w:fldCharType="begin"/>
            </w:r>
            <w:r>
              <w:rPr>
                <w:noProof/>
                <w:webHidden/>
              </w:rPr>
              <w:instrText xml:space="preserve"> PAGEREF _Toc512234672 \h </w:instrText>
            </w:r>
            <w:r>
              <w:rPr>
                <w:noProof/>
                <w:webHidden/>
              </w:rPr>
            </w:r>
            <w:r>
              <w:rPr>
                <w:noProof/>
                <w:webHidden/>
              </w:rPr>
              <w:fldChar w:fldCharType="separate"/>
            </w:r>
            <w:r>
              <w:rPr>
                <w:noProof/>
                <w:webHidden/>
              </w:rPr>
              <w:t>44</w:t>
            </w:r>
            <w:r>
              <w:rPr>
                <w:noProof/>
                <w:webHidden/>
              </w:rPr>
              <w:fldChar w:fldCharType="end"/>
            </w:r>
          </w:hyperlink>
        </w:p>
        <w:p w:rsidR="008F6EE9" w:rsidRDefault="008F6EE9">
          <w:pPr>
            <w:pStyle w:val="Spistreci2"/>
            <w:tabs>
              <w:tab w:val="left" w:pos="1100"/>
              <w:tab w:val="right" w:leader="dot" w:pos="9060"/>
            </w:tabs>
            <w:rPr>
              <w:noProof/>
            </w:rPr>
          </w:pPr>
          <w:hyperlink w:anchor="_Toc512234673" w:history="1">
            <w:r w:rsidRPr="003822C3">
              <w:rPr>
                <w:rStyle w:val="Hipercze"/>
                <w:rFonts w:ascii="Arial" w:hAnsi="Arial" w:cs="Arial"/>
                <w:i/>
                <w:noProof/>
              </w:rPr>
              <w:t>4.3.3</w:t>
            </w:r>
            <w:r>
              <w:rPr>
                <w:noProof/>
              </w:rPr>
              <w:tab/>
            </w:r>
            <w:r w:rsidRPr="003822C3">
              <w:rPr>
                <w:rStyle w:val="Hipercze"/>
                <w:rFonts w:ascii="Arial" w:hAnsi="Arial" w:cs="Arial"/>
                <w:i/>
                <w:noProof/>
              </w:rPr>
              <w:t>Kwalifikowalność wydatków w ramach pomocy de minimis</w:t>
            </w:r>
            <w:r>
              <w:rPr>
                <w:noProof/>
                <w:webHidden/>
              </w:rPr>
              <w:tab/>
            </w:r>
            <w:r>
              <w:rPr>
                <w:noProof/>
                <w:webHidden/>
              </w:rPr>
              <w:fldChar w:fldCharType="begin"/>
            </w:r>
            <w:r>
              <w:rPr>
                <w:noProof/>
                <w:webHidden/>
              </w:rPr>
              <w:instrText xml:space="preserve"> PAGEREF _Toc512234673 \h </w:instrText>
            </w:r>
            <w:r>
              <w:rPr>
                <w:noProof/>
                <w:webHidden/>
              </w:rPr>
            </w:r>
            <w:r>
              <w:rPr>
                <w:noProof/>
                <w:webHidden/>
              </w:rPr>
              <w:fldChar w:fldCharType="separate"/>
            </w:r>
            <w:r>
              <w:rPr>
                <w:noProof/>
                <w:webHidden/>
              </w:rPr>
              <w:t>49</w:t>
            </w:r>
            <w:r>
              <w:rPr>
                <w:noProof/>
                <w:webHidden/>
              </w:rPr>
              <w:fldChar w:fldCharType="end"/>
            </w:r>
          </w:hyperlink>
        </w:p>
        <w:p w:rsidR="008F6EE9" w:rsidRDefault="008F6EE9">
          <w:pPr>
            <w:pStyle w:val="Spistreci2"/>
            <w:tabs>
              <w:tab w:val="left" w:pos="1100"/>
              <w:tab w:val="right" w:leader="dot" w:pos="9060"/>
            </w:tabs>
            <w:rPr>
              <w:noProof/>
            </w:rPr>
          </w:pPr>
          <w:hyperlink w:anchor="_Toc512234674" w:history="1">
            <w:r w:rsidRPr="003822C3">
              <w:rPr>
                <w:rStyle w:val="Hipercze"/>
                <w:rFonts w:ascii="Arial" w:hAnsi="Arial" w:cs="Arial"/>
                <w:i/>
                <w:noProof/>
              </w:rPr>
              <w:t>4.3.4</w:t>
            </w:r>
            <w:r>
              <w:rPr>
                <w:noProof/>
              </w:rPr>
              <w:tab/>
            </w:r>
            <w:r w:rsidRPr="003822C3">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_Toc512234674 \h </w:instrText>
            </w:r>
            <w:r>
              <w:rPr>
                <w:noProof/>
                <w:webHidden/>
              </w:rPr>
            </w:r>
            <w:r>
              <w:rPr>
                <w:noProof/>
                <w:webHidden/>
              </w:rPr>
              <w:fldChar w:fldCharType="separate"/>
            </w:r>
            <w:r>
              <w:rPr>
                <w:noProof/>
                <w:webHidden/>
              </w:rPr>
              <w:t>49</w:t>
            </w:r>
            <w:r>
              <w:rPr>
                <w:noProof/>
                <w:webHidden/>
              </w:rPr>
              <w:fldChar w:fldCharType="end"/>
            </w:r>
          </w:hyperlink>
        </w:p>
        <w:p w:rsidR="008F6EE9" w:rsidRDefault="008F6EE9">
          <w:pPr>
            <w:pStyle w:val="Spistreci2"/>
            <w:tabs>
              <w:tab w:val="left" w:pos="1100"/>
              <w:tab w:val="right" w:leader="dot" w:pos="9060"/>
            </w:tabs>
            <w:rPr>
              <w:noProof/>
            </w:rPr>
          </w:pPr>
          <w:hyperlink w:anchor="_Toc512234675" w:history="1">
            <w:r w:rsidRPr="003822C3">
              <w:rPr>
                <w:rStyle w:val="Hipercze"/>
                <w:rFonts w:ascii="Arial" w:hAnsi="Arial" w:cs="Arial"/>
                <w:i/>
                <w:noProof/>
              </w:rPr>
              <w:t>4.3.5</w:t>
            </w:r>
            <w:r>
              <w:rPr>
                <w:noProof/>
              </w:rPr>
              <w:tab/>
            </w:r>
            <w:r w:rsidRPr="003822C3">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_Toc512234675 \h </w:instrText>
            </w:r>
            <w:r>
              <w:rPr>
                <w:noProof/>
                <w:webHidden/>
              </w:rPr>
            </w:r>
            <w:r>
              <w:rPr>
                <w:noProof/>
                <w:webHidden/>
              </w:rPr>
              <w:fldChar w:fldCharType="separate"/>
            </w:r>
            <w:r>
              <w:rPr>
                <w:noProof/>
                <w:webHidden/>
              </w:rPr>
              <w:t>52</w:t>
            </w:r>
            <w:r>
              <w:rPr>
                <w:noProof/>
                <w:webHidden/>
              </w:rPr>
              <w:fldChar w:fldCharType="end"/>
            </w:r>
          </w:hyperlink>
        </w:p>
        <w:p w:rsidR="008F6EE9" w:rsidRDefault="008F6EE9">
          <w:pPr>
            <w:pStyle w:val="Spistreci2"/>
            <w:tabs>
              <w:tab w:val="left" w:pos="880"/>
              <w:tab w:val="right" w:leader="dot" w:pos="9060"/>
            </w:tabs>
            <w:rPr>
              <w:noProof/>
            </w:rPr>
          </w:pPr>
          <w:hyperlink w:anchor="_Toc512234676" w:history="1">
            <w:r w:rsidRPr="003822C3">
              <w:rPr>
                <w:rStyle w:val="Hipercze"/>
                <w:rFonts w:ascii="Arial" w:hAnsi="Arial" w:cs="Arial"/>
                <w:i/>
                <w:noProof/>
              </w:rPr>
              <w:t>4.4</w:t>
            </w:r>
            <w:r>
              <w:rPr>
                <w:noProof/>
              </w:rPr>
              <w:tab/>
            </w:r>
            <w:r w:rsidRPr="003822C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POPC.01.01.00-IP.01-00-004/17</w:t>
            </w:r>
            <w:r>
              <w:rPr>
                <w:noProof/>
                <w:webHidden/>
              </w:rPr>
              <w:tab/>
            </w:r>
            <w:r>
              <w:rPr>
                <w:noProof/>
                <w:webHidden/>
              </w:rPr>
              <w:fldChar w:fldCharType="begin"/>
            </w:r>
            <w:r>
              <w:rPr>
                <w:noProof/>
                <w:webHidden/>
              </w:rPr>
              <w:instrText xml:space="preserve"> PAGEREF _Toc512234676 \h </w:instrText>
            </w:r>
            <w:r>
              <w:rPr>
                <w:noProof/>
                <w:webHidden/>
              </w:rPr>
            </w:r>
            <w:r>
              <w:rPr>
                <w:noProof/>
                <w:webHidden/>
              </w:rPr>
              <w:fldChar w:fldCharType="separate"/>
            </w:r>
            <w:r>
              <w:rPr>
                <w:noProof/>
                <w:webHidden/>
              </w:rPr>
              <w:t>53</w:t>
            </w:r>
            <w:r>
              <w:rPr>
                <w:noProof/>
                <w:webHidden/>
              </w:rPr>
              <w:fldChar w:fldCharType="end"/>
            </w:r>
          </w:hyperlink>
        </w:p>
        <w:p w:rsidR="008F6EE9" w:rsidRDefault="008F6EE9">
          <w:pPr>
            <w:pStyle w:val="Spistreci2"/>
            <w:tabs>
              <w:tab w:val="left" w:pos="1100"/>
              <w:tab w:val="right" w:leader="dot" w:pos="9060"/>
            </w:tabs>
            <w:rPr>
              <w:noProof/>
            </w:rPr>
          </w:pPr>
          <w:hyperlink w:anchor="_Toc512234677" w:history="1">
            <w:r w:rsidRPr="003822C3">
              <w:rPr>
                <w:rStyle w:val="Hipercze"/>
                <w:rFonts w:ascii="Arial" w:hAnsi="Arial" w:cs="Arial"/>
                <w:i/>
                <w:noProof/>
              </w:rPr>
              <w:t>4.4.1</w:t>
            </w:r>
            <w:r>
              <w:rPr>
                <w:noProof/>
              </w:rPr>
              <w:tab/>
            </w:r>
            <w:r w:rsidRPr="003822C3">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_Toc512234677 \h </w:instrText>
            </w:r>
            <w:r>
              <w:rPr>
                <w:noProof/>
                <w:webHidden/>
              </w:rPr>
            </w:r>
            <w:r>
              <w:rPr>
                <w:noProof/>
                <w:webHidden/>
              </w:rPr>
              <w:fldChar w:fldCharType="separate"/>
            </w:r>
            <w:r>
              <w:rPr>
                <w:noProof/>
                <w:webHidden/>
              </w:rPr>
              <w:t>53</w:t>
            </w:r>
            <w:r>
              <w:rPr>
                <w:noProof/>
                <w:webHidden/>
              </w:rPr>
              <w:fldChar w:fldCharType="end"/>
            </w:r>
          </w:hyperlink>
        </w:p>
        <w:p w:rsidR="008F6EE9" w:rsidRDefault="008F6EE9">
          <w:pPr>
            <w:pStyle w:val="Spistreci2"/>
            <w:tabs>
              <w:tab w:val="left" w:pos="1100"/>
              <w:tab w:val="right" w:leader="dot" w:pos="9060"/>
            </w:tabs>
            <w:rPr>
              <w:noProof/>
            </w:rPr>
          </w:pPr>
          <w:hyperlink w:anchor="_Toc512234678" w:history="1">
            <w:r w:rsidRPr="003822C3">
              <w:rPr>
                <w:rStyle w:val="Hipercze"/>
                <w:rFonts w:ascii="Arial" w:hAnsi="Arial" w:cs="Arial"/>
                <w:i/>
                <w:noProof/>
              </w:rPr>
              <w:t>4.4.2</w:t>
            </w:r>
            <w:r>
              <w:rPr>
                <w:noProof/>
              </w:rPr>
              <w:tab/>
            </w:r>
            <w:r w:rsidRPr="003822C3">
              <w:rPr>
                <w:rStyle w:val="Hipercze"/>
                <w:rFonts w:ascii="Arial" w:hAnsi="Arial" w:cs="Arial"/>
                <w:i/>
                <w:noProof/>
              </w:rPr>
              <w:t>Kwalifikowalność wydatków w ramach pomocy na infrastrukturę szerokopasmową</w:t>
            </w:r>
            <w:r>
              <w:rPr>
                <w:noProof/>
                <w:webHidden/>
              </w:rPr>
              <w:tab/>
            </w:r>
            <w:r>
              <w:rPr>
                <w:noProof/>
                <w:webHidden/>
              </w:rPr>
              <w:fldChar w:fldCharType="begin"/>
            </w:r>
            <w:r>
              <w:rPr>
                <w:noProof/>
                <w:webHidden/>
              </w:rPr>
              <w:instrText xml:space="preserve"> PAGEREF _Toc512234678 \h </w:instrText>
            </w:r>
            <w:r>
              <w:rPr>
                <w:noProof/>
                <w:webHidden/>
              </w:rPr>
            </w:r>
            <w:r>
              <w:rPr>
                <w:noProof/>
                <w:webHidden/>
              </w:rPr>
              <w:fldChar w:fldCharType="separate"/>
            </w:r>
            <w:r>
              <w:rPr>
                <w:noProof/>
                <w:webHidden/>
              </w:rPr>
              <w:t>55</w:t>
            </w:r>
            <w:r>
              <w:rPr>
                <w:noProof/>
                <w:webHidden/>
              </w:rPr>
              <w:fldChar w:fldCharType="end"/>
            </w:r>
          </w:hyperlink>
        </w:p>
        <w:p w:rsidR="008F6EE9" w:rsidRDefault="008F6EE9">
          <w:pPr>
            <w:pStyle w:val="Spistreci2"/>
            <w:tabs>
              <w:tab w:val="left" w:pos="1100"/>
              <w:tab w:val="right" w:leader="dot" w:pos="9060"/>
            </w:tabs>
            <w:rPr>
              <w:noProof/>
            </w:rPr>
          </w:pPr>
          <w:hyperlink w:anchor="_Toc512234679" w:history="1">
            <w:r w:rsidRPr="003822C3">
              <w:rPr>
                <w:rStyle w:val="Hipercze"/>
                <w:rFonts w:ascii="Arial" w:hAnsi="Arial" w:cs="Arial"/>
                <w:i/>
                <w:noProof/>
              </w:rPr>
              <w:t>4.4.3</w:t>
            </w:r>
            <w:r>
              <w:rPr>
                <w:noProof/>
              </w:rPr>
              <w:tab/>
            </w:r>
            <w:r w:rsidRPr="003822C3">
              <w:rPr>
                <w:rStyle w:val="Hipercze"/>
                <w:rFonts w:ascii="Arial" w:hAnsi="Arial" w:cs="Arial"/>
                <w:i/>
                <w:noProof/>
              </w:rPr>
              <w:t>Kwalifikowalność wydatków w ramach pomocy de minimis</w:t>
            </w:r>
            <w:r>
              <w:rPr>
                <w:noProof/>
                <w:webHidden/>
              </w:rPr>
              <w:tab/>
            </w:r>
            <w:r>
              <w:rPr>
                <w:noProof/>
                <w:webHidden/>
              </w:rPr>
              <w:fldChar w:fldCharType="begin"/>
            </w:r>
            <w:r>
              <w:rPr>
                <w:noProof/>
                <w:webHidden/>
              </w:rPr>
              <w:instrText xml:space="preserve"> PAGEREF _Toc512234679 \h </w:instrText>
            </w:r>
            <w:r>
              <w:rPr>
                <w:noProof/>
                <w:webHidden/>
              </w:rPr>
            </w:r>
            <w:r>
              <w:rPr>
                <w:noProof/>
                <w:webHidden/>
              </w:rPr>
              <w:fldChar w:fldCharType="separate"/>
            </w:r>
            <w:r>
              <w:rPr>
                <w:noProof/>
                <w:webHidden/>
              </w:rPr>
              <w:t>60</w:t>
            </w:r>
            <w:r>
              <w:rPr>
                <w:noProof/>
                <w:webHidden/>
              </w:rPr>
              <w:fldChar w:fldCharType="end"/>
            </w:r>
          </w:hyperlink>
        </w:p>
        <w:p w:rsidR="008F6EE9" w:rsidRDefault="008F6EE9">
          <w:pPr>
            <w:pStyle w:val="Spistreci2"/>
            <w:tabs>
              <w:tab w:val="left" w:pos="1100"/>
              <w:tab w:val="right" w:leader="dot" w:pos="9060"/>
            </w:tabs>
            <w:rPr>
              <w:noProof/>
            </w:rPr>
          </w:pPr>
          <w:hyperlink w:anchor="_Toc512234680" w:history="1">
            <w:r w:rsidRPr="003822C3">
              <w:rPr>
                <w:rStyle w:val="Hipercze"/>
                <w:rFonts w:ascii="Arial" w:hAnsi="Arial" w:cs="Arial"/>
                <w:i/>
                <w:noProof/>
              </w:rPr>
              <w:t>4.4.4</w:t>
            </w:r>
            <w:r>
              <w:rPr>
                <w:noProof/>
              </w:rPr>
              <w:tab/>
            </w:r>
            <w:r w:rsidRPr="003822C3">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_Toc512234680 \h </w:instrText>
            </w:r>
            <w:r>
              <w:rPr>
                <w:noProof/>
                <w:webHidden/>
              </w:rPr>
            </w:r>
            <w:r>
              <w:rPr>
                <w:noProof/>
                <w:webHidden/>
              </w:rPr>
              <w:fldChar w:fldCharType="separate"/>
            </w:r>
            <w:r>
              <w:rPr>
                <w:noProof/>
                <w:webHidden/>
              </w:rPr>
              <w:t>61</w:t>
            </w:r>
            <w:r>
              <w:rPr>
                <w:noProof/>
                <w:webHidden/>
              </w:rPr>
              <w:fldChar w:fldCharType="end"/>
            </w:r>
          </w:hyperlink>
        </w:p>
        <w:p w:rsidR="008F6EE9" w:rsidRDefault="008F6EE9">
          <w:pPr>
            <w:pStyle w:val="Spistreci2"/>
            <w:tabs>
              <w:tab w:val="left" w:pos="1100"/>
              <w:tab w:val="right" w:leader="dot" w:pos="9060"/>
            </w:tabs>
            <w:rPr>
              <w:noProof/>
            </w:rPr>
          </w:pPr>
          <w:hyperlink w:anchor="_Toc512234681" w:history="1">
            <w:r w:rsidRPr="003822C3">
              <w:rPr>
                <w:rStyle w:val="Hipercze"/>
                <w:rFonts w:ascii="Arial" w:hAnsi="Arial" w:cs="Arial"/>
                <w:i/>
                <w:noProof/>
              </w:rPr>
              <w:t>4.4.5</w:t>
            </w:r>
            <w:r>
              <w:rPr>
                <w:noProof/>
              </w:rPr>
              <w:tab/>
            </w:r>
            <w:r w:rsidRPr="003822C3">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_Toc512234681 \h </w:instrText>
            </w:r>
            <w:r>
              <w:rPr>
                <w:noProof/>
                <w:webHidden/>
              </w:rPr>
            </w:r>
            <w:r>
              <w:rPr>
                <w:noProof/>
                <w:webHidden/>
              </w:rPr>
              <w:fldChar w:fldCharType="separate"/>
            </w:r>
            <w:r>
              <w:rPr>
                <w:noProof/>
                <w:webHidden/>
              </w:rPr>
              <w:t>63</w:t>
            </w:r>
            <w:r>
              <w:rPr>
                <w:noProof/>
                <w:webHidden/>
              </w:rPr>
              <w:fldChar w:fldCharType="end"/>
            </w:r>
          </w:hyperlink>
        </w:p>
        <w:p w:rsidR="008F6EE9" w:rsidRDefault="008F6EE9">
          <w:pPr>
            <w:pStyle w:val="Spistreci2"/>
            <w:tabs>
              <w:tab w:val="left" w:pos="880"/>
              <w:tab w:val="right" w:leader="dot" w:pos="9060"/>
            </w:tabs>
            <w:rPr>
              <w:noProof/>
            </w:rPr>
          </w:pPr>
          <w:hyperlink w:anchor="_Toc512234682" w:history="1">
            <w:r w:rsidRPr="003822C3">
              <w:rPr>
                <w:rStyle w:val="Hipercze"/>
                <w:rFonts w:ascii="Arial" w:eastAsiaTheme="majorEastAsia" w:hAnsi="Arial" w:cs="Arial"/>
                <w:bCs/>
                <w:i/>
                <w:noProof/>
              </w:rPr>
              <w:t>4.5</w:t>
            </w:r>
            <w:r>
              <w:rPr>
                <w:noProof/>
              </w:rPr>
              <w:tab/>
            </w:r>
            <w:r w:rsidRPr="003822C3">
              <w:rPr>
                <w:rStyle w:val="Hipercze"/>
                <w:rFonts w:ascii="Arial" w:hAnsi="Arial" w:cs="Arial"/>
                <w:i/>
                <w:noProof/>
              </w:rPr>
              <w:t>Katalog wydatków kwalifikowalnych dla projektów Ogólnopolskiej Sieci Edukacyjnej (OSE)</w:t>
            </w:r>
            <w:r>
              <w:rPr>
                <w:noProof/>
                <w:webHidden/>
              </w:rPr>
              <w:tab/>
            </w:r>
            <w:r>
              <w:rPr>
                <w:noProof/>
                <w:webHidden/>
              </w:rPr>
              <w:fldChar w:fldCharType="begin"/>
            </w:r>
            <w:r>
              <w:rPr>
                <w:noProof/>
                <w:webHidden/>
              </w:rPr>
              <w:instrText xml:space="preserve"> PAGEREF _Toc512234682 \h </w:instrText>
            </w:r>
            <w:r>
              <w:rPr>
                <w:noProof/>
                <w:webHidden/>
              </w:rPr>
            </w:r>
            <w:r>
              <w:rPr>
                <w:noProof/>
                <w:webHidden/>
              </w:rPr>
              <w:fldChar w:fldCharType="separate"/>
            </w:r>
            <w:r>
              <w:rPr>
                <w:noProof/>
                <w:webHidden/>
              </w:rPr>
              <w:t>64</w:t>
            </w:r>
            <w:r>
              <w:rPr>
                <w:noProof/>
                <w:webHidden/>
              </w:rPr>
              <w:fldChar w:fldCharType="end"/>
            </w:r>
          </w:hyperlink>
        </w:p>
        <w:p w:rsidR="008F6EE9" w:rsidRDefault="008F6EE9">
          <w:pPr>
            <w:pStyle w:val="Spistreci2"/>
            <w:tabs>
              <w:tab w:val="right" w:leader="dot" w:pos="9060"/>
            </w:tabs>
            <w:rPr>
              <w:noProof/>
            </w:rPr>
          </w:pPr>
          <w:hyperlink w:anchor="_Toc512234683" w:history="1">
            <w:r w:rsidRPr="003822C3">
              <w:rPr>
                <w:rStyle w:val="Hipercze"/>
                <w:rFonts w:ascii="Arial" w:hAnsi="Arial" w:cs="Arial"/>
                <w:i/>
                <w:noProof/>
              </w:rPr>
              <w:t>4.5.1</w:t>
            </w:r>
            <w:r>
              <w:rPr>
                <w:noProof/>
                <w:webHidden/>
              </w:rPr>
              <w:tab/>
            </w:r>
            <w:r>
              <w:rPr>
                <w:noProof/>
                <w:webHidden/>
              </w:rPr>
              <w:fldChar w:fldCharType="begin"/>
            </w:r>
            <w:r>
              <w:rPr>
                <w:noProof/>
                <w:webHidden/>
              </w:rPr>
              <w:instrText xml:space="preserve"> PAGEREF _Toc512234683 \h </w:instrText>
            </w:r>
            <w:r>
              <w:rPr>
                <w:noProof/>
                <w:webHidden/>
              </w:rPr>
            </w:r>
            <w:r>
              <w:rPr>
                <w:noProof/>
                <w:webHidden/>
              </w:rPr>
              <w:fldChar w:fldCharType="separate"/>
            </w:r>
            <w:r>
              <w:rPr>
                <w:noProof/>
                <w:webHidden/>
              </w:rPr>
              <w:t>64</w:t>
            </w:r>
            <w:r>
              <w:rPr>
                <w:noProof/>
                <w:webHidden/>
              </w:rPr>
              <w:fldChar w:fldCharType="end"/>
            </w:r>
          </w:hyperlink>
        </w:p>
        <w:p w:rsidR="008F6EE9" w:rsidRDefault="008F6EE9">
          <w:pPr>
            <w:pStyle w:val="Spistreci2"/>
            <w:tabs>
              <w:tab w:val="left" w:pos="1100"/>
              <w:tab w:val="right" w:leader="dot" w:pos="9060"/>
            </w:tabs>
            <w:rPr>
              <w:noProof/>
            </w:rPr>
          </w:pPr>
          <w:hyperlink w:anchor="_Toc512234686" w:history="1">
            <w:r w:rsidRPr="003822C3">
              <w:rPr>
                <w:rStyle w:val="Hipercze"/>
                <w:rFonts w:ascii="Arial" w:hAnsi="Arial" w:cs="Arial"/>
                <w:i/>
                <w:noProof/>
              </w:rPr>
              <w:t>4.5.1</w:t>
            </w:r>
            <w:r>
              <w:rPr>
                <w:noProof/>
              </w:rPr>
              <w:tab/>
            </w:r>
            <w:r w:rsidRPr="003822C3">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_Toc512234686 \h </w:instrText>
            </w:r>
            <w:r>
              <w:rPr>
                <w:noProof/>
                <w:webHidden/>
              </w:rPr>
            </w:r>
            <w:r>
              <w:rPr>
                <w:noProof/>
                <w:webHidden/>
              </w:rPr>
              <w:fldChar w:fldCharType="separate"/>
            </w:r>
            <w:r>
              <w:rPr>
                <w:noProof/>
                <w:webHidden/>
              </w:rPr>
              <w:t>64</w:t>
            </w:r>
            <w:r>
              <w:rPr>
                <w:noProof/>
                <w:webHidden/>
              </w:rPr>
              <w:fldChar w:fldCharType="end"/>
            </w:r>
          </w:hyperlink>
        </w:p>
        <w:p w:rsidR="008F6EE9" w:rsidRDefault="008F6EE9">
          <w:pPr>
            <w:pStyle w:val="Spistreci2"/>
            <w:tabs>
              <w:tab w:val="left" w:pos="1100"/>
              <w:tab w:val="right" w:leader="dot" w:pos="9060"/>
            </w:tabs>
            <w:rPr>
              <w:noProof/>
            </w:rPr>
          </w:pPr>
          <w:hyperlink w:anchor="_Toc512234687" w:history="1">
            <w:r w:rsidRPr="003822C3">
              <w:rPr>
                <w:rStyle w:val="Hipercze"/>
                <w:rFonts w:ascii="Arial" w:hAnsi="Arial" w:cs="Arial"/>
                <w:i/>
                <w:noProof/>
              </w:rPr>
              <w:t>4.5.2</w:t>
            </w:r>
            <w:r>
              <w:rPr>
                <w:noProof/>
              </w:rPr>
              <w:tab/>
            </w:r>
            <w:r w:rsidRPr="003822C3">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_Toc512234687 \h </w:instrText>
            </w:r>
            <w:r>
              <w:rPr>
                <w:noProof/>
                <w:webHidden/>
              </w:rPr>
            </w:r>
            <w:r>
              <w:rPr>
                <w:noProof/>
                <w:webHidden/>
              </w:rPr>
              <w:fldChar w:fldCharType="separate"/>
            </w:r>
            <w:r>
              <w:rPr>
                <w:noProof/>
                <w:webHidden/>
              </w:rPr>
              <w:t>70</w:t>
            </w:r>
            <w:r>
              <w:rPr>
                <w:noProof/>
                <w:webHidden/>
              </w:rPr>
              <w:fldChar w:fldCharType="end"/>
            </w:r>
          </w:hyperlink>
        </w:p>
        <w:p w:rsidR="008F6EE9" w:rsidRDefault="008F6EE9">
          <w:pPr>
            <w:pStyle w:val="Spistreci1"/>
            <w:rPr>
              <w:rFonts w:asciiTheme="minorHAnsi" w:hAnsiTheme="minorHAnsi" w:cstheme="minorBidi"/>
              <w:b w:val="0"/>
            </w:rPr>
          </w:pPr>
          <w:hyperlink w:anchor="_Toc512234688" w:history="1">
            <w:r w:rsidRPr="003822C3">
              <w:rPr>
                <w:rStyle w:val="Hipercze"/>
                <w:rFonts w:eastAsia="Times New Roman" w:cs="Times New Roman"/>
                <w:bCs/>
              </w:rPr>
              <w:t>Załącznik nr 1 – Przykładowy wykaz możliwych nieprawidłowości w obszarze zamówień publicznych</w:t>
            </w:r>
            <w:r>
              <w:rPr>
                <w:webHidden/>
              </w:rPr>
              <w:tab/>
            </w:r>
            <w:r>
              <w:rPr>
                <w:webHidden/>
              </w:rPr>
              <w:fldChar w:fldCharType="begin"/>
            </w:r>
            <w:r>
              <w:rPr>
                <w:webHidden/>
              </w:rPr>
              <w:instrText xml:space="preserve"> PAGEREF _Toc512234688 \h </w:instrText>
            </w:r>
            <w:r>
              <w:rPr>
                <w:webHidden/>
              </w:rPr>
            </w:r>
            <w:r>
              <w:rPr>
                <w:webHidden/>
              </w:rPr>
              <w:fldChar w:fldCharType="separate"/>
            </w:r>
            <w:r>
              <w:rPr>
                <w:webHidden/>
              </w:rPr>
              <w:t>71</w:t>
            </w:r>
            <w:r>
              <w:rPr>
                <w:webHidden/>
              </w:rPr>
              <w:fldChar w:fldCharType="end"/>
            </w:r>
          </w:hyperlink>
        </w:p>
        <w:p w:rsidR="008F6EE9" w:rsidRDefault="008F6EE9">
          <w:pPr>
            <w:pStyle w:val="Spistreci1"/>
            <w:rPr>
              <w:rFonts w:asciiTheme="minorHAnsi" w:hAnsiTheme="minorHAnsi" w:cstheme="minorBidi"/>
              <w:b w:val="0"/>
            </w:rPr>
          </w:pPr>
          <w:hyperlink w:anchor="_Toc512234689" w:history="1">
            <w:r w:rsidRPr="003822C3">
              <w:rPr>
                <w:rStyle w:val="Hipercze"/>
                <w:rFonts w:eastAsia="Times New Roman" w:cs="Times New Roman"/>
                <w:bCs/>
              </w:rPr>
              <w:t>Załącznik nr 2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_Toc512234689 \h </w:instrText>
            </w:r>
            <w:r>
              <w:rPr>
                <w:webHidden/>
              </w:rPr>
            </w:r>
            <w:r>
              <w:rPr>
                <w:webHidden/>
              </w:rPr>
              <w:fldChar w:fldCharType="separate"/>
            </w:r>
            <w:r>
              <w:rPr>
                <w:webHidden/>
              </w:rPr>
              <w:t>73</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12234646"/>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w:t>
      </w:r>
      <w:r w:rsidR="00596030">
        <w:rPr>
          <w:rFonts w:ascii="Arial" w:eastAsia="Times New Roman" w:hAnsi="Arial" w:cs="Arial"/>
          <w:lang w:eastAsia="pl-PL"/>
        </w:rPr>
        <w:t>7</w:t>
      </w:r>
      <w:r>
        <w:rPr>
          <w:rFonts w:ascii="Arial" w:eastAsia="Times New Roman" w:hAnsi="Arial" w:cs="Arial"/>
          <w:lang w:eastAsia="pl-PL"/>
        </w:rPr>
        <w:t xml:space="preserve"> r. poz. </w:t>
      </w:r>
      <w:r w:rsidR="00596030">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96191524"/>
      <w:bookmarkStart w:id="13" w:name="_Toc496191574"/>
      <w:bookmarkStart w:id="14" w:name="_Toc496191525"/>
      <w:bookmarkStart w:id="15" w:name="_Toc496191575"/>
      <w:bookmarkStart w:id="16" w:name="_Toc496191526"/>
      <w:bookmarkStart w:id="17" w:name="_Toc496191576"/>
      <w:bookmarkStart w:id="18" w:name="_Toc512234647"/>
      <w:bookmarkEnd w:id="12"/>
      <w:bookmarkEnd w:id="13"/>
      <w:bookmarkEnd w:id="14"/>
      <w:bookmarkEnd w:id="15"/>
      <w:bookmarkEnd w:id="16"/>
      <w:bookmarkEnd w:id="17"/>
      <w:r w:rsidRPr="007E469E">
        <w:rPr>
          <w:rFonts w:ascii="Arial" w:hAnsi="Arial" w:cs="Arial"/>
          <w:color w:val="auto"/>
          <w:sz w:val="24"/>
          <w:szCs w:val="24"/>
        </w:rPr>
        <w:lastRenderedPageBreak/>
        <w:t>Rozdział - Słowniczek pojęć</w:t>
      </w:r>
      <w:bookmarkEnd w:id="18"/>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137BC9">
      <w:pPr>
        <w:numPr>
          <w:ilvl w:val="0"/>
          <w:numId w:val="10"/>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137BC9">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37BC9">
      <w:pPr>
        <w:numPr>
          <w:ilvl w:val="0"/>
          <w:numId w:val="10"/>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3F5665" w:rsidRPr="005476DC" w:rsidRDefault="003F5665" w:rsidP="00137BC9">
      <w:pPr>
        <w:pStyle w:val="Akapit"/>
        <w:keepNext w:val="0"/>
        <w:numPr>
          <w:ilvl w:val="0"/>
          <w:numId w:val="10"/>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rsidR="00AA5D96" w:rsidRDefault="00740FCE" w:rsidP="00137BC9">
      <w:pPr>
        <w:pStyle w:val="Akapit"/>
        <w:keepNext w:val="0"/>
        <w:numPr>
          <w:ilvl w:val="0"/>
          <w:numId w:val="10"/>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137BC9">
      <w:pPr>
        <w:pStyle w:val="Akapit"/>
        <w:keepNext w:val="0"/>
        <w:numPr>
          <w:ilvl w:val="0"/>
          <w:numId w:val="10"/>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F93F49" w:rsidRDefault="00224492" w:rsidP="00137BC9">
      <w:pPr>
        <w:pStyle w:val="Akapit"/>
        <w:keepNext w:val="0"/>
        <w:numPr>
          <w:ilvl w:val="0"/>
          <w:numId w:val="10"/>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F93F49" w:rsidRPr="005476DC" w:rsidRDefault="00F93F49" w:rsidP="00137BC9">
      <w:pPr>
        <w:pStyle w:val="Akapit"/>
        <w:keepNext w:val="0"/>
        <w:numPr>
          <w:ilvl w:val="0"/>
          <w:numId w:val="10"/>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rsidR="002814CF" w:rsidRPr="0055586F" w:rsidRDefault="002814CF" w:rsidP="00137BC9">
      <w:pPr>
        <w:pStyle w:val="Akapit"/>
        <w:keepNext w:val="0"/>
        <w:numPr>
          <w:ilvl w:val="0"/>
          <w:numId w:val="10"/>
        </w:numPr>
        <w:spacing w:before="240" w:after="240"/>
        <w:contextualSpacing/>
        <w:outlineLvl w:val="5"/>
        <w:rPr>
          <w:rFonts w:cs="Arial"/>
        </w:rPr>
      </w:pPr>
      <w:proofErr w:type="spellStart"/>
      <w:r w:rsidRPr="0055586F">
        <w:rPr>
          <w:rFonts w:cs="Arial"/>
          <w:bCs w:val="0"/>
        </w:rPr>
        <w:t>megaustawa</w:t>
      </w:r>
      <w:proofErr w:type="spellEnd"/>
      <w:r w:rsidRPr="0055586F">
        <w:rPr>
          <w:rFonts w:cs="Arial"/>
          <w:bCs w:val="0"/>
        </w:rPr>
        <w:t xml:space="preserve"> - ustawa z dnia 7 maja 2010 r. o wspieraniu rozwoju usług i sieci telekomunikacyjnych (Dz. U. z 201</w:t>
      </w:r>
      <w:r w:rsidR="009F6909" w:rsidRPr="0055586F">
        <w:rPr>
          <w:rFonts w:cs="Arial"/>
          <w:bCs w:val="0"/>
        </w:rPr>
        <w:t>6</w:t>
      </w:r>
      <w:r w:rsidRPr="0055586F">
        <w:rPr>
          <w:rFonts w:cs="Arial"/>
          <w:bCs w:val="0"/>
        </w:rPr>
        <w:t xml:space="preserve"> r. </w:t>
      </w:r>
      <w:r w:rsidR="0041107B" w:rsidRPr="0055586F">
        <w:rPr>
          <w:rFonts w:cs="Arial"/>
          <w:bCs w:val="0"/>
        </w:rPr>
        <w:t xml:space="preserve">poz. 1537 </w:t>
      </w:r>
      <w:proofErr w:type="spellStart"/>
      <w:r w:rsidR="0041107B" w:rsidRPr="0055586F">
        <w:rPr>
          <w:rFonts w:cs="Arial"/>
          <w:bCs w:val="0"/>
        </w:rPr>
        <w:t>t.j</w:t>
      </w:r>
      <w:proofErr w:type="spellEnd"/>
      <w:r w:rsidRPr="0055586F">
        <w:rPr>
          <w:rFonts w:cs="Arial"/>
          <w:bCs w:val="0"/>
        </w:rPr>
        <w:t xml:space="preserve"> z </w:t>
      </w:r>
      <w:proofErr w:type="spellStart"/>
      <w:r w:rsidRPr="0055586F">
        <w:rPr>
          <w:rFonts w:cs="Arial"/>
          <w:bCs w:val="0"/>
        </w:rPr>
        <w:t>późn</w:t>
      </w:r>
      <w:proofErr w:type="spellEnd"/>
      <w:r w:rsidRPr="0055586F">
        <w:rPr>
          <w:rFonts w:cs="Arial"/>
          <w:bCs w:val="0"/>
        </w:rPr>
        <w:t>. zm.)</w:t>
      </w:r>
      <w:r w:rsidR="00F34971" w:rsidRPr="0055586F">
        <w:rPr>
          <w:rFonts w:cs="Arial"/>
          <w:bCs w:val="0"/>
        </w:rPr>
        <w:t>;</w:t>
      </w:r>
    </w:p>
    <w:p w:rsidR="00811906" w:rsidRPr="0055586F" w:rsidRDefault="00811906" w:rsidP="00137BC9">
      <w:pPr>
        <w:pStyle w:val="Akapit"/>
        <w:keepNext w:val="0"/>
        <w:numPr>
          <w:ilvl w:val="0"/>
          <w:numId w:val="10"/>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b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3D08E1" w:rsidRPr="0055586F">
        <w:rPr>
          <w:rFonts w:cs="Arial"/>
          <w:bCs w:val="0"/>
        </w:rPr>
        <w:t>;</w:t>
      </w:r>
    </w:p>
    <w:p w:rsidR="00740FCE" w:rsidRPr="00F04887" w:rsidRDefault="00470A70" w:rsidP="00137BC9">
      <w:pPr>
        <w:pStyle w:val="Akapit"/>
        <w:keepNext w:val="0"/>
        <w:numPr>
          <w:ilvl w:val="0"/>
          <w:numId w:val="10"/>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41107B" w:rsidRPr="0055586F">
        <w:rPr>
          <w:rFonts w:cs="Arial"/>
          <w:bCs w:val="0"/>
        </w:rPr>
        <w:t>7</w:t>
      </w:r>
      <w:r w:rsidRPr="0055586F">
        <w:rPr>
          <w:rFonts w:cs="Arial"/>
          <w:bCs w:val="0"/>
        </w:rPr>
        <w:t xml:space="preserve"> r. poz. </w:t>
      </w:r>
      <w:r w:rsidR="0041107B" w:rsidRPr="0055586F">
        <w:rPr>
          <w:rFonts w:cs="Arial"/>
          <w:bCs w:val="0"/>
        </w:rPr>
        <w:t xml:space="preserve">459 z </w:t>
      </w:r>
      <w:proofErr w:type="spellStart"/>
      <w:r w:rsidR="0041107B" w:rsidRPr="0055586F">
        <w:rPr>
          <w:rFonts w:cs="Arial"/>
          <w:bCs w:val="0"/>
        </w:rPr>
        <w:t>późn</w:t>
      </w:r>
      <w:proofErr w:type="spellEnd"/>
      <w:r w:rsidR="0041107B" w:rsidRPr="0055586F">
        <w:rPr>
          <w:rFonts w:cs="Arial"/>
          <w:bCs w:val="0"/>
        </w:rPr>
        <w:t>.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rsidR="00175527" w:rsidRDefault="00740FCE" w:rsidP="00137BC9">
      <w:pPr>
        <w:numPr>
          <w:ilvl w:val="0"/>
          <w:numId w:val="10"/>
        </w:numPr>
        <w:spacing w:before="240" w:after="240" w:line="360" w:lineRule="auto"/>
        <w:contextualSpacing/>
        <w:jc w:val="both"/>
        <w:rPr>
          <w:rFonts w:ascii="Arial" w:hAnsi="Arial"/>
        </w:rPr>
      </w:pPr>
      <w:r w:rsidRPr="00F13F71">
        <w:rPr>
          <w:rFonts w:ascii="Arial" w:hAnsi="Arial"/>
        </w:rPr>
        <w:lastRenderedPageBreak/>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rsidR="00F93F49" w:rsidRPr="00F13F71" w:rsidRDefault="00F93F49" w:rsidP="00137BC9">
      <w:pPr>
        <w:numPr>
          <w:ilvl w:val="0"/>
          <w:numId w:val="10"/>
        </w:numPr>
        <w:spacing w:before="240" w:after="240" w:line="360" w:lineRule="auto"/>
        <w:contextualSpacing/>
        <w:jc w:val="both"/>
        <w:rPr>
          <w:rFonts w:ascii="Arial" w:hAnsi="Arial"/>
        </w:rPr>
      </w:pPr>
      <w:r>
        <w:rPr>
          <w:rFonts w:ascii="Arial" w:hAnsi="Arial"/>
        </w:rPr>
        <w:t>osoba samozatrudniona – osobę fizyczną prowadzącą działalność gospodarczą, która jest beneficjentem projektu i jednocześnie stanowi personel tego projektu,</w:t>
      </w:r>
    </w:p>
    <w:p w:rsidR="00740FCE" w:rsidRPr="008B5852" w:rsidRDefault="00740FCE" w:rsidP="00137BC9">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137BC9">
      <w:pPr>
        <w:numPr>
          <w:ilvl w:val="0"/>
          <w:numId w:val="10"/>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na podstawie stosunku pracy, osoby samozatrudnione w rozumieniu </w:t>
      </w:r>
      <w:r w:rsidR="0041107B">
        <w:rPr>
          <w:rFonts w:ascii="Arial" w:hAnsi="Arial"/>
        </w:rPr>
        <w:t>pkt</w:t>
      </w:r>
      <w:r w:rsidR="00F93F49">
        <w:rPr>
          <w:rFonts w:ascii="Arial" w:hAnsi="Arial"/>
        </w:rPr>
        <w:t xml:space="preserve"> 16,</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EE0AC6">
        <w:rPr>
          <w:rFonts w:ascii="Arial" w:hAnsi="Arial"/>
        </w:rPr>
        <w:t>7</w:t>
      </w:r>
      <w:r w:rsidR="008B5852">
        <w:rPr>
          <w:rFonts w:ascii="Arial" w:hAnsi="Arial"/>
        </w:rPr>
        <w:t xml:space="preserve"> r. poz. </w:t>
      </w:r>
      <w:r w:rsidR="00EE0AC6">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w:t>
      </w:r>
      <w:r w:rsidR="0041107B">
        <w:rPr>
          <w:rFonts w:ascii="Arial" w:hAnsi="Arial"/>
        </w:rPr>
        <w:t>e</w:t>
      </w:r>
      <w:r w:rsidRPr="00EF5BA8">
        <w:rPr>
          <w:rFonts w:ascii="Arial" w:hAnsi="Arial"/>
        </w:rPr>
        <w:t xml:space="preserve"> wykonujący świadczenia na zasadach określonych w ustawie z dnia 24 kwietnia 2003 r. o działalności pożytku publicznego i o wolontariacie</w:t>
      </w:r>
      <w:r w:rsidR="0041107B">
        <w:rPr>
          <w:rFonts w:ascii="Arial" w:hAnsi="Arial"/>
        </w:rPr>
        <w:t xml:space="preserve"> (Dz. U. z 2016 r. poz. 1817, z </w:t>
      </w:r>
      <w:proofErr w:type="spellStart"/>
      <w:r w:rsidR="0041107B">
        <w:rPr>
          <w:rFonts w:ascii="Arial" w:hAnsi="Arial"/>
        </w:rPr>
        <w:t>późn</w:t>
      </w:r>
      <w:proofErr w:type="spellEnd"/>
      <w:r w:rsidR="0041107B">
        <w:rPr>
          <w:rFonts w:ascii="Arial" w:hAnsi="Arial"/>
        </w:rPr>
        <w:t>. zm.)</w:t>
      </w:r>
      <w:r w:rsidRPr="00EF5BA8">
        <w:rPr>
          <w:rFonts w:ascii="Arial" w:hAnsi="Arial"/>
        </w:rPr>
        <w:t>,</w:t>
      </w:r>
    </w:p>
    <w:p w:rsidR="00FC219D" w:rsidRDefault="004B15BF" w:rsidP="00137BC9">
      <w:pPr>
        <w:numPr>
          <w:ilvl w:val="0"/>
          <w:numId w:val="10"/>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6A27E1" w:rsidRDefault="00AA145E" w:rsidP="00137BC9">
      <w:pPr>
        <w:numPr>
          <w:ilvl w:val="0"/>
          <w:numId w:val="10"/>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893E1A" w:rsidRPr="004A1A3D" w:rsidRDefault="00893E1A" w:rsidP="00137BC9">
      <w:pPr>
        <w:numPr>
          <w:ilvl w:val="0"/>
          <w:numId w:val="10"/>
        </w:numPr>
        <w:spacing w:before="240" w:after="240" w:line="360" w:lineRule="auto"/>
        <w:contextualSpacing/>
        <w:jc w:val="both"/>
        <w:rPr>
          <w:rFonts w:ascii="Arial" w:hAnsi="Arial"/>
        </w:rPr>
      </w:pPr>
      <w:r w:rsidRPr="006A27E1">
        <w:rPr>
          <w:rFonts w:ascii="Arial" w:hAnsi="Arial"/>
        </w:rPr>
        <w:t xml:space="preserve">Prawo </w:t>
      </w:r>
      <w:r w:rsidR="00734B08">
        <w:rPr>
          <w:rFonts w:ascii="Arial" w:hAnsi="Arial"/>
        </w:rPr>
        <w:t>t</w:t>
      </w:r>
      <w:r w:rsidRPr="006A27E1">
        <w:rPr>
          <w:rFonts w:ascii="Arial" w:hAnsi="Arial"/>
        </w:rPr>
        <w:t>elekomunikacyjne</w:t>
      </w:r>
      <w:r>
        <w:rPr>
          <w:rFonts w:ascii="Arial" w:hAnsi="Arial"/>
          <w:i/>
        </w:rPr>
        <w:t xml:space="preserve"> – </w:t>
      </w:r>
      <w:r>
        <w:rPr>
          <w:rFonts w:ascii="Arial" w:hAnsi="Arial"/>
        </w:rPr>
        <w:t>ustawa z dnia 16 lipca 2004 r. Prawo telekomunikacyjne (</w:t>
      </w:r>
      <w:proofErr w:type="spellStart"/>
      <w:r w:rsidR="00734B08">
        <w:rPr>
          <w:rFonts w:ascii="Arial" w:hAnsi="Arial"/>
        </w:rPr>
        <w:t>t.j</w:t>
      </w:r>
      <w:proofErr w:type="spellEnd"/>
      <w:r w:rsidR="00734B08">
        <w:rPr>
          <w:rFonts w:ascii="Arial" w:hAnsi="Arial"/>
        </w:rPr>
        <w:t xml:space="preserve">. </w:t>
      </w:r>
      <w:r>
        <w:rPr>
          <w:rFonts w:ascii="Arial" w:hAnsi="Arial"/>
        </w:rPr>
        <w:t>Dz. U. 201</w:t>
      </w:r>
      <w:r w:rsidR="00EE0AC6">
        <w:rPr>
          <w:rFonts w:ascii="Arial" w:hAnsi="Arial"/>
        </w:rPr>
        <w:t>7</w:t>
      </w:r>
      <w:r>
        <w:rPr>
          <w:rFonts w:ascii="Arial" w:hAnsi="Arial"/>
        </w:rPr>
        <w:t xml:space="preserve"> r., poz. 1</w:t>
      </w:r>
      <w:r w:rsidR="00EE0AC6">
        <w:rPr>
          <w:rFonts w:ascii="Arial" w:hAnsi="Arial"/>
        </w:rPr>
        <w:t>907</w:t>
      </w:r>
      <w:r>
        <w:rPr>
          <w:rFonts w:ascii="Arial" w:hAnsi="Arial"/>
        </w:rPr>
        <w:t>);</w:t>
      </w:r>
    </w:p>
    <w:p w:rsidR="001E0F55" w:rsidRPr="00576223" w:rsidRDefault="00175527" w:rsidP="00137BC9">
      <w:pPr>
        <w:numPr>
          <w:ilvl w:val="0"/>
          <w:numId w:val="10"/>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t>
      </w:r>
      <w:r w:rsidR="00F155A0" w:rsidRPr="00576223">
        <w:rPr>
          <w:rFonts w:ascii="Arial" w:hAnsi="Arial"/>
        </w:rPr>
        <w:lastRenderedPageBreak/>
        <w:t xml:space="preserve">wdrożeniowej określające, zgodnie z przedmiotową delegacją – szczegółowe warunki i przeznaczenie pomocy publicznej lub pomocy </w:t>
      </w:r>
      <w:r w:rsidR="00F155A0" w:rsidRPr="006A27E1">
        <w:rPr>
          <w:rFonts w:ascii="Arial" w:hAnsi="Arial"/>
          <w:i/>
        </w:rPr>
        <w:t xml:space="preserve">de </w:t>
      </w:r>
      <w:proofErr w:type="spellStart"/>
      <w:r w:rsidR="00F155A0" w:rsidRPr="006A27E1">
        <w:rPr>
          <w:rFonts w:ascii="Arial" w:hAnsi="Arial"/>
          <w:i/>
        </w:rPr>
        <w:t>minimis</w:t>
      </w:r>
      <w:proofErr w:type="spellEnd"/>
      <w:r w:rsidR="00F155A0" w:rsidRPr="00576223">
        <w:rPr>
          <w:rFonts w:ascii="Arial" w:hAnsi="Arial"/>
        </w:rPr>
        <w:t>, będącej przedmiotem jego regulacji;</w:t>
      </w:r>
    </w:p>
    <w:p w:rsidR="00091A7E" w:rsidRDefault="0003090B" w:rsidP="00137BC9">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137BC9">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137BC9">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137BC9">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137BC9">
      <w:pPr>
        <w:numPr>
          <w:ilvl w:val="0"/>
          <w:numId w:val="10"/>
        </w:numPr>
        <w:spacing w:after="0" w:line="360" w:lineRule="auto"/>
        <w:ind w:left="499" w:hanging="357"/>
        <w:jc w:val="both"/>
        <w:rPr>
          <w:rFonts w:ascii="Arial" w:hAnsi="Arial" w:cs="Arial"/>
        </w:rPr>
      </w:pPr>
      <w:r w:rsidRPr="007E469E">
        <w:rPr>
          <w:rFonts w:ascii="Arial" w:hAnsi="Arial" w:cs="Arial"/>
        </w:rPr>
        <w:lastRenderedPageBreak/>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137BC9">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51D63">
        <w:rPr>
          <w:rFonts w:ascii="Arial" w:hAnsi="Arial"/>
        </w:rPr>
        <w:t>6</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51D63">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137BC9">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137BC9">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w:t>
      </w:r>
      <w:r w:rsidR="00500BC0" w:rsidRPr="002C5156">
        <w:rPr>
          <w:rFonts w:ascii="Arial" w:hAnsi="Arial" w:cs="Arial"/>
        </w:rPr>
        <w:lastRenderedPageBreak/>
        <w:t xml:space="preserve">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137BC9">
      <w:pPr>
        <w:numPr>
          <w:ilvl w:val="0"/>
          <w:numId w:val="10"/>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A4723B">
        <w:rPr>
          <w:rFonts w:ascii="Arial" w:hAnsi="Arial"/>
        </w:rPr>
        <w:t>7</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1221</w:t>
      </w:r>
      <w:r w:rsidRPr="00EF5BA8">
        <w:rPr>
          <w:rFonts w:ascii="Arial" w:hAnsi="Arial"/>
        </w:rPr>
        <w:t>)</w:t>
      </w:r>
      <w:r>
        <w:rPr>
          <w:rFonts w:ascii="Arial" w:hAnsi="Arial"/>
        </w:rPr>
        <w:t>;</w:t>
      </w:r>
    </w:p>
    <w:p w:rsidR="00DA6F73" w:rsidRPr="000D79AE" w:rsidRDefault="00DA6F73" w:rsidP="00137BC9">
      <w:pPr>
        <w:pStyle w:val="Akapitzlist"/>
        <w:numPr>
          <w:ilvl w:val="0"/>
          <w:numId w:val="10"/>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751D63">
        <w:rPr>
          <w:rFonts w:ascii="Arial" w:hAnsi="Arial" w:cs="Arial"/>
        </w:rPr>
        <w:t>7</w:t>
      </w:r>
      <w:r w:rsidRPr="000D79AE">
        <w:rPr>
          <w:rFonts w:ascii="Arial" w:hAnsi="Arial" w:cs="Arial"/>
        </w:rPr>
        <w:t xml:space="preserve"> r. poz. </w:t>
      </w:r>
      <w:r w:rsidR="00751D63">
        <w:rPr>
          <w:rFonts w:ascii="Arial" w:hAnsi="Arial" w:cs="Arial"/>
        </w:rPr>
        <w:t xml:space="preserve">1332 </w:t>
      </w:r>
      <w:r w:rsidRPr="000D79AE">
        <w:rPr>
          <w:rFonts w:ascii="Arial" w:hAnsi="Arial" w:cs="Arial"/>
        </w:rPr>
        <w:t>);</w:t>
      </w:r>
    </w:p>
    <w:p w:rsidR="004B4ED8" w:rsidRPr="00F04887" w:rsidRDefault="004B4ED8" w:rsidP="00137BC9">
      <w:pPr>
        <w:numPr>
          <w:ilvl w:val="0"/>
          <w:numId w:val="10"/>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p>
    <w:p w:rsidR="006A017C" w:rsidRDefault="00FC14EC" w:rsidP="00137BC9">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5"/>
      </w:r>
      <w:r w:rsidR="004425CF" w:rsidRPr="007E469E">
        <w:rPr>
          <w:rFonts w:ascii="Arial" w:hAnsi="Arial" w:cs="Arial"/>
        </w:rPr>
        <w:t>;</w:t>
      </w:r>
    </w:p>
    <w:p w:rsidR="00521C36" w:rsidRPr="00521C36" w:rsidRDefault="00521C36" w:rsidP="00137BC9">
      <w:pPr>
        <w:numPr>
          <w:ilvl w:val="0"/>
          <w:numId w:val="10"/>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137BC9">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F93F49">
        <w:rPr>
          <w:rStyle w:val="Odwoanieprzypisudolnego"/>
          <w:rFonts w:ascii="Arial" w:hAnsi="Arial" w:cs="Arial"/>
        </w:rPr>
        <w:footnoteReference w:id="6"/>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 xml:space="preserve">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137BC9">
      <w:pPr>
        <w:numPr>
          <w:ilvl w:val="0"/>
          <w:numId w:val="10"/>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137BC9">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137BC9">
      <w:pPr>
        <w:numPr>
          <w:ilvl w:val="0"/>
          <w:numId w:val="10"/>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34971" w:rsidRDefault="00F34971"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F34971" w:rsidRPr="00F21869" w:rsidRDefault="00F34971" w:rsidP="00316996">
      <w:pPr>
        <w:spacing w:after="0" w:line="360" w:lineRule="auto"/>
        <w:ind w:left="499"/>
        <w:jc w:val="both"/>
        <w:rPr>
          <w:rFonts w:ascii="Arial" w:hAnsi="Arial" w:cs="Arial"/>
        </w:rPr>
      </w:pPr>
    </w:p>
    <w:p w:rsidR="00441E3D" w:rsidRDefault="00441E3D">
      <w:pPr>
        <w:rPr>
          <w:rFonts w:ascii="Arial" w:eastAsiaTheme="majorEastAsia" w:hAnsi="Arial" w:cs="Arial"/>
          <w:b/>
          <w:bCs/>
          <w:sz w:val="24"/>
          <w:szCs w:val="24"/>
        </w:rPr>
      </w:pPr>
      <w:bookmarkStart w:id="19" w:name="_Toc384969091"/>
      <w:r>
        <w:rPr>
          <w:rFonts w:ascii="Arial" w:hAnsi="Arial" w:cs="Arial"/>
          <w:sz w:val="24"/>
          <w:szCs w:val="24"/>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0" w:name="_Toc512234648"/>
      <w:r w:rsidRPr="007E469E">
        <w:rPr>
          <w:rFonts w:ascii="Arial" w:hAnsi="Arial" w:cs="Arial"/>
          <w:color w:val="auto"/>
          <w:sz w:val="24"/>
          <w:szCs w:val="24"/>
        </w:rPr>
        <w:lastRenderedPageBreak/>
        <w:t xml:space="preserve">Rozdział - Cel, zakres oraz obowiązywanie </w:t>
      </w:r>
      <w:bookmarkEnd w:id="19"/>
      <w:r w:rsidR="00F34971">
        <w:rPr>
          <w:rFonts w:ascii="Arial" w:hAnsi="Arial" w:cs="Arial"/>
          <w:i/>
          <w:color w:val="auto"/>
          <w:sz w:val="24"/>
          <w:szCs w:val="24"/>
        </w:rPr>
        <w:t>Katalogu</w:t>
      </w:r>
      <w:bookmarkEnd w:id="20"/>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1" w:name="39"/>
      <w:bookmarkStart w:id="22" w:name="_Toc396130032"/>
      <w:bookmarkStart w:id="23" w:name="_Toc396130107"/>
      <w:bookmarkEnd w:id="21"/>
      <w:bookmarkEnd w:id="22"/>
      <w:bookmarkEnd w:id="23"/>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512234649"/>
      <w:r w:rsidRPr="007E469E">
        <w:rPr>
          <w:rFonts w:ascii="Arial" w:hAnsi="Arial" w:cs="Arial"/>
          <w:color w:val="auto"/>
          <w:sz w:val="24"/>
          <w:szCs w:val="24"/>
        </w:rPr>
        <w:lastRenderedPageBreak/>
        <w:t>Rozdział - Wspólne warunki i procedury w zakresie kwalifikowalności wydatków</w:t>
      </w:r>
      <w:bookmarkEnd w:id="24"/>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512234650"/>
      <w:r w:rsidRPr="007E469E">
        <w:rPr>
          <w:rFonts w:ascii="Arial" w:hAnsi="Arial" w:cs="Arial"/>
          <w:i/>
          <w:color w:val="auto"/>
          <w:sz w:val="24"/>
          <w:szCs w:val="24"/>
        </w:rPr>
        <w:t>Ocena kwalifikowalności wydatku.</w:t>
      </w:r>
      <w:bookmarkEnd w:id="25"/>
    </w:p>
    <w:p w:rsidR="00903FFD" w:rsidRPr="007E469E" w:rsidRDefault="00903FFD" w:rsidP="00137BC9">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rsidR="002D3F7E" w:rsidRPr="00B81671" w:rsidRDefault="00AC0BF2"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512234651"/>
      <w:r w:rsidRPr="007E469E">
        <w:rPr>
          <w:rFonts w:ascii="Arial" w:hAnsi="Arial" w:cs="Arial"/>
          <w:i/>
          <w:color w:val="auto"/>
          <w:sz w:val="24"/>
          <w:szCs w:val="24"/>
        </w:rPr>
        <w:t>Wydatki niekwalifikowalne</w:t>
      </w:r>
      <w:bookmarkEnd w:id="26"/>
    </w:p>
    <w:p w:rsidR="00903FFD" w:rsidRPr="007E469E" w:rsidRDefault="00903FFD" w:rsidP="00137BC9">
      <w:pPr>
        <w:pStyle w:val="Akapitzlist"/>
        <w:numPr>
          <w:ilvl w:val="0"/>
          <w:numId w:val="13"/>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137BC9">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7" w:name="_Toc512234652"/>
      <w:r w:rsidRPr="00B81671">
        <w:rPr>
          <w:rFonts w:ascii="Arial" w:hAnsi="Arial" w:cs="Arial"/>
          <w:i/>
          <w:color w:val="auto"/>
          <w:sz w:val="24"/>
          <w:szCs w:val="24"/>
        </w:rPr>
        <w:t>Zasada faktycznego poniesienia wydatku</w:t>
      </w:r>
      <w:bookmarkEnd w:id="27"/>
    </w:p>
    <w:p w:rsidR="00903FFD" w:rsidRPr="00B81671" w:rsidRDefault="00903FFD"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rsidR="00D11C3F" w:rsidRPr="00B81671" w:rsidRDefault="00D11C3F"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7642B8">
        <w:rPr>
          <w:rFonts w:ascii="Arial" w:hAnsi="Arial" w:cs="Arial"/>
        </w:rPr>
        <w:t>7</w:t>
      </w:r>
      <w:r w:rsidR="00B176BD" w:rsidRPr="00B81671">
        <w:rPr>
          <w:rFonts w:ascii="Arial" w:hAnsi="Arial" w:cs="Arial"/>
        </w:rPr>
        <w:t xml:space="preserve"> r. poz. </w:t>
      </w:r>
      <w:r w:rsidRPr="00B81671">
        <w:rPr>
          <w:rFonts w:ascii="Arial" w:hAnsi="Arial" w:cs="Arial"/>
        </w:rPr>
        <w:t>1</w:t>
      </w:r>
      <w:r w:rsidR="00E54E1F">
        <w:rPr>
          <w:rFonts w:ascii="Arial" w:hAnsi="Arial" w:cs="Arial"/>
        </w:rPr>
        <w:t>8</w:t>
      </w:r>
      <w:r w:rsidR="007642B8">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137BC9">
      <w:pPr>
        <w:numPr>
          <w:ilvl w:val="0"/>
          <w:numId w:val="5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137BC9">
      <w:pPr>
        <w:numPr>
          <w:ilvl w:val="0"/>
          <w:numId w:val="5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w:t>
      </w:r>
      <w:r w:rsidR="00F07EFC" w:rsidRPr="00B81671">
        <w:rPr>
          <w:rFonts w:ascii="Arial" w:eastAsia="Times New Roman" w:hAnsi="Arial" w:cs="Arial"/>
          <w:lang w:eastAsia="pl-PL"/>
        </w:rPr>
        <w:lastRenderedPageBreak/>
        <w:t>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137BC9">
      <w:pPr>
        <w:numPr>
          <w:ilvl w:val="0"/>
          <w:numId w:val="25"/>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137BC9">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623F7">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w:t>
      </w:r>
      <w:r w:rsidRPr="00B81671">
        <w:rPr>
          <w:rFonts w:ascii="Arial" w:hAnsi="Arial" w:cs="Arial"/>
        </w:rPr>
        <w:lastRenderedPageBreak/>
        <w:t xml:space="preserve">potwierdzone przez pracodawcę (korzystającego z usług wolontariusza). Karta pracy woluntariusza powinna zawierać co najmniej następujące informacje: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rsidR="00132869" w:rsidRPr="00B81671" w:rsidRDefault="00D04FFE"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8" w:name="_Toc512234653"/>
      <w:bookmarkStart w:id="29" w:name="_Toc399917175"/>
      <w:r w:rsidRPr="00B81671">
        <w:rPr>
          <w:rFonts w:ascii="Arial" w:hAnsi="Arial" w:cs="Arial"/>
          <w:i/>
          <w:color w:val="auto"/>
          <w:sz w:val="24"/>
          <w:szCs w:val="24"/>
        </w:rPr>
        <w:t>Warunki oraz okres kwalifikowania wydatków w projektach podlegających zasadom pomocy publicznej</w:t>
      </w:r>
      <w:bookmarkEnd w:id="28"/>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137BC9">
      <w:pPr>
        <w:pStyle w:val="Akapitzlist"/>
        <w:numPr>
          <w:ilvl w:val="1"/>
          <w:numId w:val="20"/>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9"/>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0"/>
      </w:r>
      <w:r w:rsidR="004D07F4" w:rsidRPr="00B81671">
        <w:rPr>
          <w:rFonts w:ascii="Arial" w:hAnsi="Arial" w:cs="Arial"/>
        </w:rPr>
        <w:t>.</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w:t>
      </w:r>
      <w:r w:rsidRPr="00B81671">
        <w:rPr>
          <w:rFonts w:ascii="Arial" w:hAnsi="Arial" w:cs="Arial"/>
        </w:rPr>
        <w:lastRenderedPageBreak/>
        <w:t xml:space="preserve">przyniesie co najmniej jeden z efektów wskazanych w art. 6 ust. 3 Rozporządzenia KE nr 651/2014. </w:t>
      </w:r>
    </w:p>
    <w:p w:rsidR="001C278F" w:rsidRPr="00AC1DA9" w:rsidRDefault="001C278F" w:rsidP="00137BC9">
      <w:pPr>
        <w:pStyle w:val="Akapit"/>
        <w:numPr>
          <w:ilvl w:val="0"/>
          <w:numId w:val="12"/>
        </w:numPr>
        <w:tabs>
          <w:tab w:val="num" w:pos="403"/>
        </w:tabs>
        <w:spacing w:before="120" w:after="120"/>
        <w:ind w:left="403" w:hanging="403"/>
        <w:outlineLvl w:val="5"/>
        <w:rPr>
          <w:rFonts w:cs="Arial"/>
        </w:rPr>
      </w:pPr>
      <w:r w:rsidRPr="00B81671">
        <w:rPr>
          <w:rFonts w:cs="Arial"/>
        </w:rPr>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1"/>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2"/>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13"/>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C33055" w:rsidRPr="00C33055" w:rsidRDefault="00C33055" w:rsidP="00C33055">
      <w:bookmarkStart w:id="30" w:name="_Toc407115848"/>
      <w:bookmarkStart w:id="31" w:name="_Toc407116378"/>
      <w:bookmarkStart w:id="32" w:name="_Toc406509583"/>
      <w:bookmarkEnd w:id="30"/>
      <w:bookmarkEnd w:id="31"/>
    </w:p>
    <w:p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3" w:name="_Toc428535187"/>
      <w:bookmarkStart w:id="34" w:name="_Toc431295988"/>
      <w:bookmarkStart w:id="35" w:name="_Toc512234654"/>
      <w:r>
        <w:rPr>
          <w:rFonts w:ascii="Arial" w:hAnsi="Arial" w:cs="Arial"/>
          <w:i/>
          <w:color w:val="000000" w:themeColor="text1"/>
          <w:sz w:val="24"/>
          <w:szCs w:val="24"/>
        </w:rPr>
        <w:t>Zamówienia udzielane w projektach</w:t>
      </w:r>
      <w:bookmarkEnd w:id="33"/>
      <w:bookmarkEnd w:id="34"/>
      <w:bookmarkEnd w:id="35"/>
    </w:p>
    <w:p w:rsidR="00AC1DA9" w:rsidRPr="00463A68"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rsidR="00463A68" w:rsidRPr="00463A68" w:rsidRDefault="00463A68" w:rsidP="00137BC9">
      <w:pPr>
        <w:numPr>
          <w:ilvl w:val="0"/>
          <w:numId w:val="17"/>
        </w:numPr>
        <w:spacing w:before="120" w:after="120" w:line="360" w:lineRule="auto"/>
        <w:ind w:left="403" w:hanging="403"/>
        <w:jc w:val="both"/>
        <w:rPr>
          <w:rFonts w:ascii="Arial" w:eastAsia="MS Mincho" w:hAnsi="Arial" w:cs="Arial"/>
          <w:lang w:eastAsia="ja-JP"/>
        </w:rPr>
      </w:pPr>
      <w:r w:rsidRPr="00463A68">
        <w:rPr>
          <w:rFonts w:ascii="Arial" w:eastAsia="MS Mincho" w:hAnsi="Arial" w:cs="Arial"/>
          <w:lang w:eastAsia="ja-JP"/>
        </w:rPr>
        <w:t>Wnioskodawca</w:t>
      </w:r>
      <w:r w:rsidR="008A0D8A">
        <w:rPr>
          <w:rFonts w:ascii="Arial" w:eastAsia="MS Mincho" w:hAnsi="Arial" w:cs="Arial"/>
          <w:lang w:eastAsia="ja-JP"/>
        </w:rPr>
        <w:t>, który</w:t>
      </w:r>
      <w:r w:rsidRPr="00463A68">
        <w:rPr>
          <w:rFonts w:ascii="Arial" w:eastAsia="MS Mincho" w:hAnsi="Arial" w:cs="Arial"/>
          <w:lang w:eastAsia="ja-JP"/>
        </w:rPr>
        <w:t xml:space="preserve"> rozpoczyna realizację </w:t>
      </w:r>
      <w:r w:rsidR="008A0D8A">
        <w:rPr>
          <w:rFonts w:ascii="Arial" w:eastAsia="MS Mincho" w:hAnsi="Arial" w:cs="Arial"/>
          <w:lang w:eastAsia="ja-JP"/>
        </w:rPr>
        <w:t xml:space="preserve">projektu </w:t>
      </w:r>
      <w:r w:rsidRPr="00463A68">
        <w:rPr>
          <w:rFonts w:ascii="Arial" w:eastAsia="MS Mincho" w:hAnsi="Arial" w:cs="Arial"/>
          <w:lang w:eastAsia="ja-JP"/>
        </w:rPr>
        <w:t xml:space="preserve">na własne ryzyko przed podpisaniem umowy o dofinansowanie, </w:t>
      </w:r>
      <w:r w:rsidR="008A0D8A">
        <w:rPr>
          <w:rFonts w:ascii="Arial" w:eastAsia="MS Mincho" w:hAnsi="Arial" w:cs="Arial"/>
          <w:lang w:eastAsia="ja-JP"/>
        </w:rPr>
        <w:t xml:space="preserve">powinien </w:t>
      </w:r>
      <w:r w:rsidRPr="00463A68">
        <w:rPr>
          <w:rFonts w:ascii="Arial" w:eastAsia="MS Mincho" w:hAnsi="Arial" w:cs="Arial"/>
          <w:lang w:eastAsia="ja-JP"/>
        </w:rPr>
        <w:t>upubliczni</w:t>
      </w:r>
      <w:r w:rsidR="008A0D8A">
        <w:rPr>
          <w:rFonts w:ascii="Arial" w:eastAsia="MS Mincho" w:hAnsi="Arial" w:cs="Arial"/>
          <w:lang w:eastAsia="ja-JP"/>
        </w:rPr>
        <w:t>ć</w:t>
      </w:r>
      <w:r w:rsidRPr="00463A68">
        <w:rPr>
          <w:rFonts w:ascii="Arial" w:eastAsia="MS Mincho" w:hAnsi="Arial" w:cs="Arial"/>
          <w:lang w:eastAsia="ja-JP"/>
        </w:rPr>
        <w:t xml:space="preserve"> zapytani</w:t>
      </w:r>
      <w:r w:rsidR="008A0D8A">
        <w:rPr>
          <w:rFonts w:ascii="Arial" w:eastAsia="MS Mincho" w:hAnsi="Arial" w:cs="Arial"/>
          <w:lang w:eastAsia="ja-JP"/>
        </w:rPr>
        <w:t>e ofertowe</w:t>
      </w:r>
      <w:r w:rsidRPr="00463A68">
        <w:rPr>
          <w:rFonts w:ascii="Arial" w:eastAsia="MS Mincho" w:hAnsi="Arial" w:cs="Arial"/>
          <w:lang w:eastAsia="ja-JP"/>
        </w:rPr>
        <w:t xml:space="preserve">, o którym mowa w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przed ogłoszeniem konkursu lub naboru - na stronie internetowej www.cppc.gov.pl, </w:t>
      </w:r>
    </w:p>
    <w:p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po ogłoszeniu konkursu lub naboru - w bazie konkurencyjności, o której mowa w punkcie 13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8D2E9C" w:rsidRPr="00F116D9"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w:t>
      </w:r>
      <w:proofErr w:type="spellStart"/>
      <w:r w:rsidR="008D2E9C" w:rsidRPr="00F116D9">
        <w:rPr>
          <w:rFonts w:ascii="Arial" w:eastAsia="MS Mincho" w:hAnsi="Arial" w:cs="Arial"/>
          <w:lang w:eastAsia="ja-JP"/>
        </w:rPr>
        <w:t>Pzp</w:t>
      </w:r>
      <w:proofErr w:type="spellEnd"/>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rsidR="008D2E9C" w:rsidRPr="00F116D9"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rsidR="008D2E9C" w:rsidRPr="00B81671"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6" w:name="_Toc496191535"/>
      <w:bookmarkStart w:id="37" w:name="_Toc496191585"/>
      <w:bookmarkStart w:id="38" w:name="_Toc496191539"/>
      <w:bookmarkStart w:id="39" w:name="_Toc496191589"/>
      <w:bookmarkStart w:id="40" w:name="_Toc429043882"/>
      <w:bookmarkEnd w:id="29"/>
      <w:bookmarkEnd w:id="32"/>
      <w:bookmarkEnd w:id="36"/>
      <w:bookmarkEnd w:id="37"/>
      <w:bookmarkEnd w:id="38"/>
      <w:bookmarkEnd w:id="39"/>
      <w:bookmarkEnd w:id="40"/>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1" w:name="_Toc512234655"/>
      <w:r w:rsidRPr="00C60541">
        <w:rPr>
          <w:rFonts w:ascii="Arial" w:hAnsi="Arial" w:cs="Arial"/>
          <w:i/>
          <w:color w:val="auto"/>
          <w:sz w:val="24"/>
          <w:szCs w:val="24"/>
        </w:rPr>
        <w:t>Leasing</w:t>
      </w:r>
      <w:bookmarkEnd w:id="41"/>
    </w:p>
    <w:p w:rsidR="006F58D2" w:rsidRDefault="006F58D2" w:rsidP="00137BC9">
      <w:pPr>
        <w:keepNext/>
        <w:numPr>
          <w:ilvl w:val="0"/>
          <w:numId w:val="2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137BC9">
      <w:pPr>
        <w:keepNext/>
        <w:numPr>
          <w:ilvl w:val="0"/>
          <w:numId w:val="2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906D5B" w:rsidRPr="00C60541" w:rsidRDefault="006F58D2" w:rsidP="00C0534E">
      <w:pPr>
        <w:ind w:left="426"/>
        <w:jc w:val="both"/>
        <w:rPr>
          <w:rFonts w:ascii="Arial" w:hAnsi="Arial" w:cs="Arial"/>
        </w:rPr>
      </w:pPr>
      <w:r w:rsidRPr="00B81671">
        <w:rPr>
          <w:rFonts w:ascii="Arial" w:hAnsi="Arial" w:cs="Arial"/>
        </w:rPr>
        <w:t>e) opłaty ubezpieczeniowe.</w:t>
      </w:r>
    </w:p>
    <w:p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2" w:name="_Toc498677422"/>
      <w:bookmarkStart w:id="43" w:name="_Toc498678408"/>
      <w:bookmarkStart w:id="44" w:name="_Toc498949797"/>
      <w:bookmarkStart w:id="45" w:name="_Toc498950449"/>
      <w:bookmarkStart w:id="46" w:name="_Toc499295101"/>
      <w:bookmarkStart w:id="47" w:name="_Toc499649351"/>
      <w:bookmarkStart w:id="48" w:name="_Toc499649391"/>
      <w:bookmarkStart w:id="49" w:name="_Toc512234656"/>
      <w:bookmarkEnd w:id="42"/>
      <w:bookmarkEnd w:id="43"/>
      <w:bookmarkEnd w:id="44"/>
      <w:bookmarkEnd w:id="45"/>
      <w:bookmarkEnd w:id="46"/>
      <w:bookmarkEnd w:id="47"/>
      <w:bookmarkEnd w:id="48"/>
      <w:r w:rsidRPr="00F861DC">
        <w:rPr>
          <w:rFonts w:ascii="Arial" w:hAnsi="Arial" w:cs="Arial"/>
          <w:i/>
          <w:color w:val="auto"/>
          <w:sz w:val="24"/>
          <w:szCs w:val="24"/>
        </w:rPr>
        <w:t>Projekty generujące dochód po zakończeniu realizacji projektów</w:t>
      </w:r>
      <w:bookmarkEnd w:id="49"/>
    </w:p>
    <w:p w:rsidR="002C0FB6" w:rsidRPr="00F861DC" w:rsidRDefault="008C5BFF"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rozdziałach 6.9 i 7.</w:t>
      </w:r>
      <w:r w:rsidR="0036761B">
        <w:rPr>
          <w:rFonts w:ascii="Arial" w:eastAsia="Times New Roman" w:hAnsi="Arial" w:cs="Times New Roman"/>
          <w:szCs w:val="24"/>
          <w:lang w:eastAsia="pl-PL"/>
        </w:rPr>
        <w:t>7</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w:t>
      </w:r>
    </w:p>
    <w:p w:rsidR="00634991" w:rsidRPr="00B81671" w:rsidRDefault="00903FFD"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12234657"/>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137BC9">
      <w:pPr>
        <w:keepNext/>
        <w:numPr>
          <w:ilvl w:val="0"/>
          <w:numId w:val="46"/>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rsidR="00903FFD" w:rsidRPr="00B81671" w:rsidRDefault="005E0166" w:rsidP="00137BC9">
      <w:pPr>
        <w:keepNext/>
        <w:numPr>
          <w:ilvl w:val="0"/>
          <w:numId w:val="46"/>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96191547"/>
      <w:bookmarkStart w:id="54" w:name="_Toc496191597"/>
      <w:bookmarkStart w:id="55" w:name="_Toc498677428"/>
      <w:bookmarkStart w:id="56" w:name="_Toc498678414"/>
      <w:bookmarkStart w:id="57" w:name="_Toc498949803"/>
      <w:bookmarkStart w:id="58" w:name="_Toc496191548"/>
      <w:bookmarkStart w:id="59" w:name="_Toc496191598"/>
      <w:bookmarkStart w:id="60" w:name="_Toc498677429"/>
      <w:bookmarkStart w:id="61" w:name="_Toc498678415"/>
      <w:bookmarkStart w:id="62" w:name="_Toc498949804"/>
      <w:bookmarkStart w:id="63" w:name="_Toc496191549"/>
      <w:bookmarkStart w:id="64" w:name="_Toc496191599"/>
      <w:bookmarkStart w:id="65" w:name="_Toc498677430"/>
      <w:bookmarkStart w:id="66" w:name="_Toc498678416"/>
      <w:bookmarkStart w:id="67" w:name="_Toc498949805"/>
      <w:bookmarkStart w:id="68" w:name="_Toc496191551"/>
      <w:bookmarkStart w:id="69" w:name="_Toc496191601"/>
      <w:bookmarkStart w:id="70" w:name="_Toc498677432"/>
      <w:bookmarkStart w:id="71" w:name="_Toc498678418"/>
      <w:bookmarkStart w:id="72" w:name="_Toc498949807"/>
      <w:bookmarkStart w:id="73" w:name="_Toc496191552"/>
      <w:bookmarkStart w:id="74" w:name="_Toc496191602"/>
      <w:bookmarkStart w:id="75" w:name="_Toc498677433"/>
      <w:bookmarkStart w:id="76" w:name="_Toc498678419"/>
      <w:bookmarkStart w:id="77" w:name="_Toc498949808"/>
      <w:bookmarkStart w:id="78" w:name="_Toc496191553"/>
      <w:bookmarkStart w:id="79" w:name="_Toc496191603"/>
      <w:bookmarkStart w:id="80" w:name="_Toc498677434"/>
      <w:bookmarkStart w:id="81" w:name="_Toc498678420"/>
      <w:bookmarkStart w:id="82" w:name="_Toc498949809"/>
      <w:bookmarkStart w:id="83" w:name="_Toc417549284"/>
      <w:bookmarkStart w:id="84" w:name="_Toc417549353"/>
      <w:bookmarkStart w:id="85" w:name="_Toc417549422"/>
      <w:bookmarkStart w:id="86" w:name="_Toc418584390"/>
      <w:bookmarkStart w:id="87" w:name="_Toc418588606"/>
      <w:bookmarkStart w:id="88" w:name="_Toc496191554"/>
      <w:bookmarkStart w:id="89" w:name="_Toc496191604"/>
      <w:bookmarkStart w:id="90" w:name="_Toc498677435"/>
      <w:bookmarkStart w:id="91" w:name="_Toc498678421"/>
      <w:bookmarkStart w:id="92" w:name="_Toc498949810"/>
      <w:bookmarkStart w:id="93" w:name="_Toc496191556"/>
      <w:bookmarkStart w:id="94" w:name="_Toc496191606"/>
      <w:bookmarkStart w:id="95" w:name="_Toc498677437"/>
      <w:bookmarkStart w:id="96" w:name="_Toc498678423"/>
      <w:bookmarkStart w:id="97" w:name="_Toc498949812"/>
      <w:bookmarkStart w:id="98" w:name="_Toc496191557"/>
      <w:bookmarkStart w:id="99" w:name="_Toc496191607"/>
      <w:bookmarkStart w:id="100" w:name="_Toc498677438"/>
      <w:bookmarkStart w:id="101" w:name="_Toc498678424"/>
      <w:bookmarkStart w:id="102" w:name="_Toc498949813"/>
      <w:bookmarkStart w:id="103" w:name="_Toc407115859"/>
      <w:bookmarkStart w:id="104" w:name="_Toc4071163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E469E">
        <w:rPr>
          <w:rFonts w:ascii="Arial" w:hAnsi="Arial" w:cs="Arial"/>
          <w:i/>
          <w:color w:val="auto"/>
          <w:sz w:val="24"/>
          <w:szCs w:val="24"/>
        </w:rPr>
        <w:t xml:space="preserve"> </w:t>
      </w:r>
      <w:bookmarkStart w:id="105" w:name="_Toc512234658"/>
      <w:r w:rsidRPr="007E469E">
        <w:rPr>
          <w:rFonts w:ascii="Arial" w:hAnsi="Arial" w:cs="Arial"/>
          <w:i/>
          <w:color w:val="auto"/>
          <w:sz w:val="24"/>
          <w:szCs w:val="24"/>
        </w:rPr>
        <w:t>Zmiany projektów</w:t>
      </w:r>
      <w:bookmarkEnd w:id="105"/>
    </w:p>
    <w:p w:rsidR="00A06EE2" w:rsidRPr="007E469E" w:rsidRDefault="00A06EE2"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6" w:name="_Toc512234659"/>
      <w:r w:rsidRPr="00B81671">
        <w:rPr>
          <w:rFonts w:ascii="Arial" w:hAnsi="Arial" w:cs="Arial"/>
          <w:i/>
          <w:color w:val="auto"/>
          <w:sz w:val="24"/>
          <w:szCs w:val="24"/>
        </w:rPr>
        <w:t>Duży projekt – zasady identyfikacji</w:t>
      </w:r>
      <w:bookmarkEnd w:id="106"/>
      <w:r w:rsidRPr="00B81671">
        <w:rPr>
          <w:rFonts w:ascii="Arial" w:hAnsi="Arial" w:cs="Arial"/>
          <w:i/>
          <w:color w:val="auto"/>
          <w:sz w:val="24"/>
          <w:szCs w:val="24"/>
        </w:rPr>
        <w:t xml:space="preserve"> </w:t>
      </w:r>
    </w:p>
    <w:p w:rsidR="00F0653C" w:rsidRPr="00B81671" w:rsidRDefault="00F0653C"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w:t>
      </w:r>
      <w:r w:rsidR="00136638" w:rsidRPr="00B81671">
        <w:rPr>
          <w:rFonts w:cs="Arial"/>
          <w:szCs w:val="22"/>
        </w:rPr>
        <w:lastRenderedPageBreak/>
        <w:t>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rsidR="00903FFD" w:rsidRPr="00B81671" w:rsidRDefault="00903FFD" w:rsidP="00137BC9">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512234660"/>
      <w:r w:rsidRPr="00B81671">
        <w:rPr>
          <w:rFonts w:ascii="Arial" w:hAnsi="Arial" w:cs="Arial"/>
          <w:i/>
          <w:color w:val="auto"/>
          <w:sz w:val="24"/>
          <w:szCs w:val="24"/>
        </w:rPr>
        <w:t>Podmiot dokonujący wydatków kwalifikowalnych</w:t>
      </w:r>
      <w:bookmarkEnd w:id="107"/>
    </w:p>
    <w:p w:rsidR="00AC2A05"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8" w:name="_Toc512234661"/>
      <w:r w:rsidRPr="00B81671">
        <w:rPr>
          <w:rFonts w:ascii="Arial" w:hAnsi="Arial" w:cs="Arial"/>
          <w:i/>
          <w:color w:val="auto"/>
          <w:sz w:val="24"/>
          <w:szCs w:val="24"/>
        </w:rPr>
        <w:t>Podmiot na rzecz którego ponoszone są wydatki kwalifikowalne</w:t>
      </w:r>
      <w:bookmarkEnd w:id="108"/>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t>
      </w:r>
      <w:r w:rsidRPr="00B81671">
        <w:rPr>
          <w:rFonts w:ascii="A" w:hAnsi="A" w:cs="A"/>
        </w:rPr>
        <w:lastRenderedPageBreak/>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Default="008C0F3D"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5A15" w:rsidRDefault="00FF5A15" w:rsidP="00602DF9">
      <w:pPr>
        <w:spacing w:before="120" w:after="120" w:line="360" w:lineRule="auto"/>
        <w:ind w:left="360"/>
        <w:jc w:val="both"/>
        <w:rPr>
          <w:rFonts w:ascii="Arial" w:eastAsia="Times New Roman" w:hAnsi="Arial" w:cs="Arial"/>
          <w:lang w:eastAsia="pl-PL"/>
        </w:rPr>
      </w:pPr>
    </w:p>
    <w:p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9" w:name="_Toc498677443"/>
      <w:bookmarkStart w:id="110" w:name="_Toc498678429"/>
      <w:bookmarkStart w:id="111" w:name="_Toc498949818"/>
      <w:bookmarkStart w:id="112" w:name="_Toc498950456"/>
      <w:bookmarkStart w:id="113" w:name="_Toc499295108"/>
      <w:bookmarkStart w:id="114" w:name="_Toc499649358"/>
      <w:bookmarkStart w:id="115" w:name="_Toc499649398"/>
      <w:bookmarkStart w:id="116" w:name="_Toc512234662"/>
      <w:bookmarkEnd w:id="109"/>
      <w:bookmarkEnd w:id="110"/>
      <w:bookmarkEnd w:id="111"/>
      <w:bookmarkEnd w:id="112"/>
      <w:bookmarkEnd w:id="113"/>
      <w:bookmarkEnd w:id="114"/>
      <w:bookmarkEnd w:id="115"/>
      <w:r w:rsidRPr="00602DF9">
        <w:rPr>
          <w:rFonts w:ascii="Arial" w:hAnsi="Arial" w:cs="Arial"/>
          <w:i/>
          <w:color w:val="auto"/>
          <w:sz w:val="24"/>
          <w:szCs w:val="24"/>
        </w:rPr>
        <w:lastRenderedPageBreak/>
        <w:t>Zasady kwalifikowalności wydatków w ramach instrumentów finansowych</w:t>
      </w:r>
      <w:bookmarkEnd w:id="116"/>
      <w:r w:rsidRPr="00602DF9">
        <w:rPr>
          <w:rFonts w:ascii="Arial" w:hAnsi="Arial" w:cs="Arial"/>
          <w:i/>
          <w:color w:val="auto"/>
          <w:sz w:val="24"/>
          <w:szCs w:val="24"/>
        </w:rPr>
        <w:t xml:space="preserve"> </w:t>
      </w:r>
    </w:p>
    <w:p w:rsidR="00B7472D" w:rsidRDefault="00B7472D" w:rsidP="00137BC9">
      <w:pPr>
        <w:numPr>
          <w:ilvl w:val="0"/>
          <w:numId w:val="72"/>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rsidR="00A03923" w:rsidRDefault="00D103D8" w:rsidP="00137BC9">
      <w:pPr>
        <w:numPr>
          <w:ilvl w:val="0"/>
          <w:numId w:val="72"/>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r w:rsidR="00A03923">
        <w:rPr>
          <w:rFonts w:ascii="Arial" w:eastAsia="Times New Roman" w:hAnsi="Arial" w:cs="Arial"/>
          <w:lang w:eastAsia="pl-PL"/>
        </w:rPr>
        <w:br w:type="page"/>
      </w:r>
    </w:p>
    <w:p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7" w:name="_Toc512234663"/>
      <w:r>
        <w:rPr>
          <w:rFonts w:ascii="Arial" w:hAnsi="Arial" w:cs="Arial"/>
          <w:color w:val="auto"/>
          <w:sz w:val="24"/>
          <w:szCs w:val="24"/>
        </w:rPr>
        <w:lastRenderedPageBreak/>
        <w:t xml:space="preserve">Rozdział – Oś priorytetowa I. Powszechny dostęp do szybkiego </w:t>
      </w:r>
      <w:proofErr w:type="spellStart"/>
      <w:r>
        <w:rPr>
          <w:rFonts w:ascii="Arial" w:hAnsi="Arial" w:cs="Arial"/>
          <w:color w:val="auto"/>
          <w:sz w:val="24"/>
          <w:szCs w:val="24"/>
        </w:rPr>
        <w:t>internetu</w:t>
      </w:r>
      <w:proofErr w:type="spellEnd"/>
      <w:r>
        <w:rPr>
          <w:rFonts w:ascii="Arial" w:hAnsi="Arial" w:cs="Arial"/>
          <w:color w:val="auto"/>
          <w:sz w:val="24"/>
          <w:szCs w:val="24"/>
        </w:rPr>
        <w:t xml:space="preserve"> – szczegółowe zasady kwalifikowalności wydatków w ramach EFRR</w:t>
      </w:r>
      <w:bookmarkEnd w:id="117"/>
    </w:p>
    <w:p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8" w:name="_Toc429043896"/>
      <w:bookmarkStart w:id="119" w:name="_Toc512234664"/>
      <w:bookmarkEnd w:id="118"/>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 xml:space="preserve">„Wyeliminowanie terytorialnych różnic w możliwości dostępu do szerokopasmowego </w:t>
      </w:r>
      <w:proofErr w:type="spellStart"/>
      <w:r w:rsidRPr="00A532C5">
        <w:rPr>
          <w:rFonts w:ascii="Arial" w:hAnsi="Arial" w:cs="Arial"/>
          <w:i/>
          <w:color w:val="auto"/>
          <w:sz w:val="24"/>
          <w:szCs w:val="24"/>
        </w:rPr>
        <w:t>internetu</w:t>
      </w:r>
      <w:proofErr w:type="spellEnd"/>
      <w:r w:rsidRPr="00A532C5">
        <w:rPr>
          <w:rFonts w:ascii="Arial" w:hAnsi="Arial" w:cs="Arial"/>
          <w:i/>
          <w:color w:val="auto"/>
          <w:sz w:val="24"/>
          <w:szCs w:val="24"/>
        </w:rPr>
        <w:t xml:space="preserve">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9"/>
    </w:p>
    <w:p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20" w:name="_Toc512234665"/>
      <w:r w:rsidRPr="00722ACD">
        <w:rPr>
          <w:rFonts w:ascii="Arial" w:hAnsi="Arial" w:cs="Arial"/>
          <w:i/>
          <w:color w:val="auto"/>
          <w:sz w:val="24"/>
          <w:szCs w:val="24"/>
        </w:rPr>
        <w:t>Wydatki kwalifikowalne</w:t>
      </w:r>
      <w:bookmarkEnd w:id="120"/>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t>
      </w:r>
      <w:proofErr w:type="spellStart"/>
      <w:r w:rsidRPr="006101E2">
        <w:rPr>
          <w:rFonts w:ascii="Arial" w:hAnsi="Arial" w:cs="Arial"/>
        </w:rPr>
        <w:t>wyłączeń</w:t>
      </w:r>
      <w:proofErr w:type="spellEnd"/>
      <w:r w:rsidRPr="006101E2">
        <w:rPr>
          <w:rFonts w:ascii="Arial" w:hAnsi="Arial" w:cs="Arial"/>
        </w:rPr>
        <w:t>.</w:t>
      </w: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6101E2" w:rsidRPr="006101E2" w:rsidTr="001359B7">
        <w:tc>
          <w:tcPr>
            <w:tcW w:w="4606" w:type="dxa"/>
            <w:shd w:val="clear" w:color="auto" w:fill="F2F2F2" w:themeFill="background1" w:themeFillShade="F2"/>
          </w:tcPr>
          <w:p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 xml:space="preserve">de </w:t>
            </w:r>
            <w:proofErr w:type="spellStart"/>
            <w:r w:rsidRPr="00316996">
              <w:rPr>
                <w:rFonts w:ascii="Arial" w:hAnsi="Arial" w:cs="Arial"/>
                <w:i/>
              </w:rPr>
              <w:t>minimis</w:t>
            </w:r>
            <w:proofErr w:type="spellEnd"/>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rsidTr="001359B7">
        <w:trPr>
          <w:trHeight w:val="1931"/>
        </w:trPr>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inwestycyjne budowy pasywnej infrastruktury szerokopasmowej</w:t>
            </w:r>
            <w:r w:rsidRPr="006101E2">
              <w:rPr>
                <w:rFonts w:ascii="Arial" w:hAnsi="Arial" w:cs="Arial"/>
                <w:bCs/>
                <w:vertAlign w:val="superscript"/>
              </w:rPr>
              <w:footnoteReference w:id="14"/>
            </w:r>
            <w:r w:rsidRPr="006101E2">
              <w:rPr>
                <w:rFonts w:ascii="Arial" w:hAnsi="Arial" w:cs="Arial"/>
                <w:bCs/>
              </w:rPr>
              <w:t xml:space="preserve">, w tym robót i materiałów budowlanych oraz dostaw i instalacji elementów  infrastruktury szerokopasmowej; </w:t>
            </w:r>
          </w:p>
        </w:tc>
        <w:tc>
          <w:tcPr>
            <w:tcW w:w="4606" w:type="dxa"/>
          </w:tcPr>
          <w:p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rsidTr="001359B7">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lastRenderedPageBreak/>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rsidTr="001359B7">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rsidR="00347005" w:rsidRPr="0056167D" w:rsidRDefault="006101E2" w:rsidP="00137BC9">
            <w:pPr>
              <w:pStyle w:val="PKTpunkt"/>
              <w:numPr>
                <w:ilvl w:val="0"/>
                <w:numId w:val="51"/>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rsidR="006101E2" w:rsidRPr="006101E2" w:rsidRDefault="006101E2" w:rsidP="0056167D">
            <w:p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137BC9">
            <w:pPr>
              <w:numPr>
                <w:ilvl w:val="0"/>
                <w:numId w:val="51"/>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rsidTr="001359B7">
        <w:tc>
          <w:tcPr>
            <w:tcW w:w="4606" w:type="dxa"/>
          </w:tcPr>
          <w:p w:rsidR="006101E2" w:rsidRPr="006C29ED" w:rsidRDefault="006101E2" w:rsidP="00137BC9">
            <w:pPr>
              <w:pStyle w:val="Akapitzlist"/>
              <w:numPr>
                <w:ilvl w:val="0"/>
                <w:numId w:val="51"/>
              </w:numPr>
              <w:spacing w:before="120" w:after="120" w:line="360" w:lineRule="auto"/>
              <w:rPr>
                <w:rFonts w:ascii="Arial" w:hAnsi="Arial" w:cs="Arial"/>
                <w:bCs/>
              </w:rPr>
            </w:pPr>
            <w:r w:rsidRPr="006C29ED">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rsidTr="001359B7">
        <w:tc>
          <w:tcPr>
            <w:tcW w:w="4606" w:type="dxa"/>
          </w:tcPr>
          <w:p w:rsidR="006101E2" w:rsidRPr="006101E2" w:rsidRDefault="006101E2" w:rsidP="00137BC9">
            <w:pPr>
              <w:numPr>
                <w:ilvl w:val="0"/>
                <w:numId w:val="51"/>
              </w:numPr>
              <w:spacing w:before="120" w:after="120" w:line="360" w:lineRule="auto"/>
              <w:ind w:left="426"/>
              <w:rPr>
                <w:rFonts w:ascii="Arial" w:hAnsi="Arial" w:cs="Arial"/>
              </w:rPr>
            </w:pPr>
            <w:r w:rsidRPr="006101E2">
              <w:rPr>
                <w:rFonts w:ascii="Arial" w:hAnsi="Arial" w:cs="Arial"/>
                <w:bCs/>
              </w:rPr>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rsidR="006101E2" w:rsidRPr="006101E2" w:rsidRDefault="006101E2" w:rsidP="00137BC9">
            <w:pPr>
              <w:numPr>
                <w:ilvl w:val="0"/>
                <w:numId w:val="49"/>
              </w:num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137BC9">
            <w:pPr>
              <w:numPr>
                <w:ilvl w:val="0"/>
                <w:numId w:val="51"/>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bl>
    <w:p w:rsidR="001C6FB3" w:rsidRDefault="001C6FB3" w:rsidP="006101E2">
      <w:pPr>
        <w:autoSpaceDE w:val="0"/>
        <w:autoSpaceDN w:val="0"/>
        <w:adjustRightInd w:val="0"/>
        <w:spacing w:before="120" w:after="120" w:line="360" w:lineRule="auto"/>
        <w:jc w:val="both"/>
        <w:rPr>
          <w:rFonts w:ascii="Arial" w:hAnsi="Arial" w:cs="Arial"/>
        </w:rPr>
      </w:pP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kwalifikowalne są wydatki w związku z zastosowaniem leasingu i innych technik finansowania nie powodujących natychmiastowego przeniesienia prawa własności;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512234666"/>
      <w:r w:rsidRPr="006101E2">
        <w:rPr>
          <w:rFonts w:ascii="Arial" w:eastAsiaTheme="majorEastAsia" w:hAnsi="Arial" w:cs="Arial"/>
          <w:bCs/>
          <w:i/>
          <w:sz w:val="24"/>
          <w:szCs w:val="24"/>
        </w:rPr>
        <w:t>Kwalifikowalność wydatków w ramach pomocy na infrastrukturę szerokopasmową</w:t>
      </w:r>
      <w:bookmarkEnd w:id="121"/>
    </w:p>
    <w:p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5"/>
      </w:r>
      <w:r w:rsidRPr="006101E2">
        <w:rPr>
          <w:rFonts w:ascii="Arial" w:hAnsi="Arial" w:cs="Arial"/>
        </w:rPr>
        <w:t xml:space="preserve"> i instalacji elementów pasywnej infrastruktury szerokopasmowej, w tym w szczególności:</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materiały budowlane;</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6101E2">
        <w:rPr>
          <w:rFonts w:ascii="Arial" w:hAnsi="Arial" w:cs="Arial"/>
        </w:rPr>
        <w:t>mikrorury</w:t>
      </w:r>
      <w:proofErr w:type="spellEnd"/>
      <w:r w:rsidRPr="006101E2">
        <w:rPr>
          <w:rFonts w:ascii="Arial" w:hAnsi="Arial" w:cs="Arial"/>
        </w:rPr>
        <w:t xml:space="preserve">, złączki, mufy, kable telekomunikacyjne (wraz z niezbędnymi do pozostawienia w punktach zakończenia sieci zapasami), </w:t>
      </w:r>
      <w:proofErr w:type="spellStart"/>
      <w:r w:rsidRPr="006101E2">
        <w:rPr>
          <w:rFonts w:ascii="Arial" w:hAnsi="Arial" w:cs="Arial"/>
        </w:rPr>
        <w:t>splittery</w:t>
      </w:r>
      <w:proofErr w:type="spellEnd"/>
      <w:r w:rsidRPr="006101E2">
        <w:rPr>
          <w:rFonts w:ascii="Arial" w:hAnsi="Arial" w:cs="Arial"/>
        </w:rPr>
        <w:t>, taśmy ostrzegawcze, znaczniki elektromagnetyczne, szafy i kontenery telekomunikacyjne, słupy, maszty i wieże radiowe, a także elementy pasywne niezbędne do ochrony przeciwprzepięciowej i odgromowej;</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6"/>
      </w:r>
      <w:r w:rsidRPr="006101E2">
        <w:rPr>
          <w:rFonts w:ascii="Arial" w:hAnsi="Arial" w:cs="Arial"/>
        </w:rPr>
        <w:t xml:space="preserve">.  </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t>
      </w:r>
      <w:r w:rsidRPr="006101E2">
        <w:rPr>
          <w:rFonts w:ascii="Arial" w:hAnsi="Arial" w:cs="Arial"/>
        </w:rPr>
        <w:lastRenderedPageBreak/>
        <w:t>warunkiem 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rsidR="006101E2" w:rsidRPr="00E520FB" w:rsidRDefault="006101E2" w:rsidP="00137BC9">
      <w:pPr>
        <w:numPr>
          <w:ilvl w:val="0"/>
          <w:numId w:val="29"/>
        </w:numPr>
        <w:spacing w:before="120" w:after="120" w:line="360" w:lineRule="auto"/>
        <w:jc w:val="both"/>
        <w:rPr>
          <w:rFonts w:ascii="Arial" w:hAnsi="Arial" w:cs="Arial"/>
        </w:rPr>
      </w:pPr>
      <w:r w:rsidRPr="00E520FB">
        <w:rPr>
          <w:rFonts w:ascii="Arial" w:hAnsi="Arial" w:cs="Arial"/>
        </w:rPr>
        <w:t xml:space="preserve">kategorie wydatków w zakresie określonym w </w:t>
      </w:r>
      <w:r w:rsidRPr="00E520FB">
        <w:rPr>
          <w:rFonts w:ascii="Arial" w:hAnsi="Arial" w:cs="Arial"/>
          <w:i/>
        </w:rPr>
        <w:t>Wytycznych</w:t>
      </w:r>
      <w:r w:rsidRPr="00FD0FB3">
        <w:rPr>
          <w:rFonts w:ascii="Arial" w:hAnsi="Arial" w:cs="Arial"/>
        </w:rPr>
        <w:t>;</w:t>
      </w:r>
    </w:p>
    <w:p w:rsidR="006101E2" w:rsidRPr="006101E2" w:rsidRDefault="006101E2" w:rsidP="00137BC9">
      <w:pPr>
        <w:numPr>
          <w:ilvl w:val="0"/>
          <w:numId w:val="29"/>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w:t>
      </w:r>
      <w:proofErr w:type="spellStart"/>
      <w:r w:rsidRPr="006101E2">
        <w:rPr>
          <w:rFonts w:ascii="Arial" w:hAnsi="Arial" w:cs="Arial"/>
        </w:rPr>
        <w:t>megaustawy</w:t>
      </w:r>
      <w:proofErr w:type="spellEnd"/>
      <w:r w:rsidRPr="006101E2">
        <w:rPr>
          <w:rFonts w:ascii="Arial" w:hAnsi="Arial" w:cs="Arial"/>
        </w:rPr>
        <w:t xml:space="preserve"> </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lastRenderedPageBreak/>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proofErr w:type="spellStart"/>
      <w:r w:rsidR="00361FA5">
        <w:rPr>
          <w:rFonts w:ascii="Arial" w:hAnsi="Arial" w:cs="Arial"/>
        </w:rPr>
        <w:t>mega</w:t>
      </w:r>
      <w:r w:rsidRPr="006101E2">
        <w:rPr>
          <w:rFonts w:ascii="Arial" w:hAnsi="Arial" w:cs="Arial"/>
        </w:rPr>
        <w:t>ustawy</w:t>
      </w:r>
      <w:proofErr w:type="spellEnd"/>
      <w:r w:rsidRPr="006101E2">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warunki techniczne określone w pkt 1 tego 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137BC9">
      <w:pPr>
        <w:numPr>
          <w:ilvl w:val="0"/>
          <w:numId w:val="32"/>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 xml:space="preserve">art. 17 </w:t>
      </w:r>
      <w:proofErr w:type="spellStart"/>
      <w:r w:rsidRPr="006101E2">
        <w:rPr>
          <w:rFonts w:ascii="Arial" w:hAnsi="Arial" w:cs="Arial"/>
        </w:rPr>
        <w:t>megaustawy</w:t>
      </w:r>
      <w:proofErr w:type="spellEnd"/>
      <w:r w:rsidRPr="006101E2">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lastRenderedPageBreak/>
        <w:t xml:space="preserve">z tytułu korzystania z urządzeń i obiektów infrastruktury technicznej o którym mowa w art. 35 </w:t>
      </w:r>
      <w:proofErr w:type="spellStart"/>
      <w:r w:rsidRPr="006101E2">
        <w:rPr>
          <w:rFonts w:ascii="Arial" w:hAnsi="Arial" w:cs="Arial"/>
        </w:rPr>
        <w:t>megaustawy</w:t>
      </w:r>
      <w:proofErr w:type="spellEnd"/>
      <w:r w:rsidR="001216B1">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proofErr w:type="spellStart"/>
      <w:r w:rsidR="001216B1">
        <w:rPr>
          <w:rFonts w:ascii="Arial" w:hAnsi="Arial" w:cs="Arial"/>
        </w:rPr>
        <w:t>t</w:t>
      </w:r>
      <w:r w:rsidR="000A6538">
        <w:rPr>
          <w:rFonts w:ascii="Arial" w:hAnsi="Arial" w:cs="Arial"/>
        </w:rPr>
        <w:t>.</w:t>
      </w:r>
      <w:r w:rsidR="001216B1">
        <w:rPr>
          <w:rFonts w:ascii="Arial" w:hAnsi="Arial" w:cs="Arial"/>
        </w:rPr>
        <w:t>j</w:t>
      </w:r>
      <w:proofErr w:type="spellEnd"/>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wartości niematerialnych i prawnych:</w:t>
      </w:r>
    </w:p>
    <w:p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 xml:space="preserve">Wydatki te są kwalifikowalne z uwzględnieniem przyjętych założeń technicznych projektu określonych we wniosku o dofinansowanie. </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512234667"/>
      <w:r w:rsidRPr="006101E2">
        <w:rPr>
          <w:rFonts w:ascii="Arial" w:eastAsiaTheme="majorEastAsia" w:hAnsi="Arial" w:cs="Arial"/>
          <w:bCs/>
          <w:i/>
          <w:sz w:val="24"/>
          <w:szCs w:val="24"/>
        </w:rPr>
        <w:t xml:space="preserve">Kwalifikowalność wydatków w ramach pomocy de </w:t>
      </w:r>
      <w:proofErr w:type="spellStart"/>
      <w:r w:rsidRPr="006101E2">
        <w:rPr>
          <w:rFonts w:ascii="Arial" w:eastAsiaTheme="majorEastAsia" w:hAnsi="Arial" w:cs="Arial"/>
          <w:bCs/>
          <w:i/>
          <w:sz w:val="24"/>
          <w:szCs w:val="24"/>
        </w:rPr>
        <w:t>minimis</w:t>
      </w:r>
      <w:bookmarkEnd w:id="122"/>
      <w:proofErr w:type="spellEnd"/>
    </w:p>
    <w:p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 xml:space="preserve">de </w:t>
      </w:r>
      <w:proofErr w:type="spellStart"/>
      <w:r w:rsidRPr="00460CEC">
        <w:rPr>
          <w:rFonts w:ascii="Arial" w:hAnsi="Arial" w:cs="Arial"/>
          <w:i/>
        </w:rPr>
        <w:t>minimis</w:t>
      </w:r>
      <w:proofErr w:type="spellEnd"/>
      <w:r w:rsidRPr="006101E2">
        <w:rPr>
          <w:rFonts w:ascii="Arial" w:hAnsi="Arial" w:cs="Arial"/>
        </w:rPr>
        <w:t xml:space="preserve"> udzielanej na podstawie Rozporządzenia Komisji (UE) nr 1407/2013 zalicza się wydatki na:</w:t>
      </w:r>
    </w:p>
    <w:p w:rsidR="006101E2" w:rsidRPr="006101E2" w:rsidRDefault="006101E2" w:rsidP="00137BC9">
      <w:pPr>
        <w:numPr>
          <w:ilvl w:val="0"/>
          <w:numId w:val="41"/>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uzyskaniem pozwolenia na budowę</w:t>
      </w:r>
    </w:p>
    <w:p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7"/>
      </w:r>
      <w:r w:rsidRPr="006101E2">
        <w:rPr>
          <w:rFonts w:ascii="Arial" w:hAnsi="Arial" w:cs="Arial"/>
          <w:bCs/>
        </w:rPr>
        <w:t>, określonych w umowie o udzielenie wsparcia;</w:t>
      </w:r>
    </w:p>
    <w:p w:rsidR="00B57EE7"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rsid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512234668"/>
      <w:r w:rsidRPr="00602DF9">
        <w:rPr>
          <w:rFonts w:ascii="Arial" w:eastAsiaTheme="majorEastAsia" w:hAnsi="Arial" w:cs="Arial"/>
          <w:bCs/>
          <w:i/>
          <w:sz w:val="24"/>
          <w:szCs w:val="24"/>
        </w:rPr>
        <w:t>Wydatki niekwalifikowalne</w:t>
      </w:r>
      <w:bookmarkEnd w:id="123"/>
    </w:p>
    <w:p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Dla projektów realizowanych w obszarze zabudowy:</w:t>
      </w:r>
    </w:p>
    <w:p w:rsidR="006101E2" w:rsidRPr="00846494" w:rsidRDefault="006101E2" w:rsidP="00137BC9">
      <w:pPr>
        <w:numPr>
          <w:ilvl w:val="0"/>
          <w:numId w:val="31"/>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lastRenderedPageBreak/>
        <w:t>W przypadku mieszanego typu zabudowy danego obszaru, powyższe zasady stosuje się odpowiednio dla danego typu budynku jednorodzinnego, wielorodzinnego lub wielorodzinnego szeregowego.</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4B1759" w:rsidRPr="000D79AE" w:rsidRDefault="004B1759" w:rsidP="00137BC9">
      <w:pPr>
        <w:pStyle w:val="Akapitzlist"/>
        <w:numPr>
          <w:ilvl w:val="0"/>
          <w:numId w:val="30"/>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Koszty pośrednie.</w:t>
      </w:r>
    </w:p>
    <w:p w:rsidR="00A27714" w:rsidRPr="006101E2" w:rsidRDefault="00A27714" w:rsidP="00137BC9">
      <w:pPr>
        <w:numPr>
          <w:ilvl w:val="0"/>
          <w:numId w:val="30"/>
        </w:numPr>
        <w:spacing w:before="120" w:after="120" w:line="360" w:lineRule="auto"/>
        <w:ind w:left="426"/>
        <w:jc w:val="both"/>
        <w:rPr>
          <w:rFonts w:ascii="Arial" w:hAnsi="Arial" w:cs="Arial"/>
        </w:rPr>
      </w:pPr>
      <w:r>
        <w:rPr>
          <w:rFonts w:ascii="Arial" w:hAnsi="Arial" w:cs="Arial"/>
        </w:rPr>
        <w:t>Wkład niepieniężny</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4" w:name="_Toc512234669"/>
      <w:r w:rsidRPr="000C2C01">
        <w:rPr>
          <w:rFonts w:ascii="Arial" w:eastAsiaTheme="majorEastAsia" w:hAnsi="Arial" w:cs="Arial"/>
          <w:bCs/>
          <w:i/>
          <w:sz w:val="24"/>
          <w:szCs w:val="24"/>
        </w:rPr>
        <w:t>Warunki oraz okres kwalifikowania wydatków w projektach podlegających zasadom pomocy publicznej</w:t>
      </w:r>
      <w:bookmarkEnd w:id="124"/>
    </w:p>
    <w:p w:rsidR="006101E2" w:rsidRPr="000C2C01" w:rsidRDefault="006101E2"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w:t>
      </w:r>
      <w:proofErr w:type="spellStart"/>
      <w:r w:rsidR="000C2C01">
        <w:rPr>
          <w:rFonts w:ascii="Arial" w:hAnsi="Arial" w:cs="Arial"/>
        </w:rPr>
        <w:t>i</w:t>
      </w:r>
      <w:proofErr w:type="spellEnd"/>
      <w:r w:rsidR="000C2C01">
        <w:rPr>
          <w:rFonts w:ascii="Arial" w:hAnsi="Arial" w:cs="Arial"/>
        </w:rPr>
        <w:t xml:space="preserve">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rsidR="006101E2" w:rsidRPr="000C2C01" w:rsidRDefault="001C6FB3"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 xml:space="preserve">de </w:t>
      </w:r>
      <w:proofErr w:type="spellStart"/>
      <w:r w:rsidR="006101E2" w:rsidRPr="000C2C01">
        <w:rPr>
          <w:rFonts w:ascii="Arial" w:hAnsi="Arial" w:cs="Arial"/>
          <w:i/>
        </w:rPr>
        <w:t>minimis</w:t>
      </w:r>
      <w:proofErr w:type="spellEnd"/>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rsidR="006101E2" w:rsidRPr="000C2C01" w:rsidRDefault="006101E2" w:rsidP="00137BC9">
      <w:pPr>
        <w:pStyle w:val="Akapitzlist"/>
        <w:numPr>
          <w:ilvl w:val="0"/>
          <w:numId w:val="53"/>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C1407" w:rsidRDefault="00DC1407"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03923" w:rsidRDefault="00A03923" w:rsidP="00A77C3B">
      <w:pPr>
        <w:pStyle w:val="Nagwek2"/>
        <w:numPr>
          <w:ilvl w:val="1"/>
          <w:numId w:val="1"/>
        </w:numPr>
        <w:spacing w:before="240" w:after="60" w:line="360" w:lineRule="auto"/>
        <w:jc w:val="center"/>
        <w:rPr>
          <w:rFonts w:ascii="Arial" w:hAnsi="Arial" w:cs="Arial"/>
          <w:i/>
          <w:color w:val="auto"/>
          <w:sz w:val="24"/>
          <w:szCs w:val="24"/>
        </w:rPr>
      </w:pPr>
      <w:r>
        <w:rPr>
          <w:rFonts w:ascii="Arial" w:hAnsi="Arial" w:cs="Arial"/>
          <w:i/>
          <w:color w:val="auto"/>
          <w:sz w:val="24"/>
          <w:szCs w:val="24"/>
        </w:rPr>
        <w:br w:type="page"/>
      </w:r>
    </w:p>
    <w:p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5" w:name="_Toc512234670"/>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9C4ADD">
        <w:rPr>
          <w:rFonts w:ascii="Arial" w:hAnsi="Arial" w:cs="Arial"/>
          <w:i/>
          <w:color w:val="auto"/>
          <w:sz w:val="24"/>
          <w:szCs w:val="24"/>
        </w:rPr>
        <w:t>ów</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5"/>
      <w:r w:rsidR="00906D5B">
        <w:rPr>
          <w:rFonts w:ascii="Arial" w:hAnsi="Arial" w:cs="Arial"/>
          <w:i/>
          <w:color w:val="auto"/>
          <w:sz w:val="24"/>
          <w:szCs w:val="24"/>
        </w:rPr>
        <w:t xml:space="preserve"> </w:t>
      </w:r>
    </w:p>
    <w:p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6" w:name="_Toc512234671"/>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6"/>
    </w:p>
    <w:p w:rsidR="0036568A" w:rsidRPr="0036568A" w:rsidRDefault="0036568A" w:rsidP="00C632DB">
      <w:pPr>
        <w:autoSpaceDE w:val="0"/>
        <w:autoSpaceDN w:val="0"/>
        <w:adjustRightInd w:val="0"/>
        <w:spacing w:before="120" w:after="120" w:line="360" w:lineRule="auto"/>
        <w:jc w:val="both"/>
        <w:rPr>
          <w:rFonts w:ascii="Arial" w:hAnsi="Arial" w:cs="Arial"/>
        </w:rPr>
      </w:pPr>
      <w:bookmarkStart w:id="127" w:name="_Toc429043907"/>
      <w:bookmarkEnd w:id="127"/>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36568A" w:rsidRPr="0036568A" w:rsidTr="00B7472D">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36568A" w:rsidRPr="0036568A" w:rsidTr="00B7472D">
        <w:trPr>
          <w:trHeight w:val="1931"/>
        </w:trPr>
        <w:tc>
          <w:tcPr>
            <w:tcW w:w="4606" w:type="dxa"/>
          </w:tcPr>
          <w:p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rsidR="0036568A" w:rsidRPr="0036568A" w:rsidRDefault="0036568A" w:rsidP="00137BC9">
            <w:pPr>
              <w:numPr>
                <w:ilvl w:val="0"/>
                <w:numId w:val="5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rsidTr="00B7472D">
        <w:tc>
          <w:tcPr>
            <w:tcW w:w="4606" w:type="dxa"/>
          </w:tcPr>
          <w:p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36568A" w:rsidRPr="0036568A" w:rsidRDefault="0036568A" w:rsidP="00137BC9">
            <w:pPr>
              <w:numPr>
                <w:ilvl w:val="0"/>
                <w:numId w:val="55"/>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36568A" w:rsidRPr="0036568A" w:rsidTr="00B7472D">
        <w:tc>
          <w:tcPr>
            <w:tcW w:w="4606" w:type="dxa"/>
          </w:tcPr>
          <w:p w:rsidR="0036568A" w:rsidRPr="0036568A" w:rsidRDefault="0036568A" w:rsidP="00137BC9">
            <w:pPr>
              <w:numPr>
                <w:ilvl w:val="0"/>
                <w:numId w:val="55"/>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36568A" w:rsidRPr="0036568A" w:rsidRDefault="0036568A" w:rsidP="00137BC9">
            <w:pPr>
              <w:numPr>
                <w:ilvl w:val="0"/>
                <w:numId w:val="49"/>
              </w:num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36568A" w:rsidRPr="0036568A" w:rsidRDefault="0036568A" w:rsidP="0036568A">
            <w:pPr>
              <w:spacing w:after="200" w:line="276" w:lineRule="auto"/>
              <w:rPr>
                <w:rFonts w:ascii="Arial" w:hAnsi="Arial" w:cs="Arial"/>
              </w:rPr>
            </w:pPr>
          </w:p>
        </w:tc>
      </w:tr>
    </w:tbl>
    <w:p w:rsidR="0036568A" w:rsidRDefault="0036568A" w:rsidP="0036568A">
      <w:pPr>
        <w:rPr>
          <w:rFonts w:ascii="Arial" w:hAnsi="Arial" w:cs="Arial"/>
        </w:rPr>
      </w:pPr>
      <w:r>
        <w:rPr>
          <w:rFonts w:ascii="Arial" w:hAnsi="Arial" w:cs="Arial"/>
        </w:rPr>
        <w:br w:type="page"/>
      </w:r>
    </w:p>
    <w:p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8" w:name="_Toc512234672"/>
      <w:r w:rsidRPr="005C74BF">
        <w:rPr>
          <w:rFonts w:ascii="Arial" w:hAnsi="Arial" w:cs="Arial"/>
          <w:b w:val="0"/>
          <w:i/>
          <w:color w:val="auto"/>
          <w:sz w:val="24"/>
          <w:szCs w:val="24"/>
        </w:rPr>
        <w:t>Kwalifikowalność wydatków w ramach pomocy na infrastrukturę szerokopasmową</w:t>
      </w:r>
      <w:bookmarkEnd w:id="128"/>
    </w:p>
    <w:p w:rsidR="00C632DB" w:rsidRDefault="00C632DB">
      <w:pPr>
        <w:rPr>
          <w:rFonts w:ascii="Arial" w:hAnsi="Arial" w:cs="Arial"/>
        </w:rPr>
      </w:pPr>
      <w:r w:rsidRPr="00C632DB">
        <w:rPr>
          <w:rFonts w:ascii="Arial" w:hAnsi="Arial" w:cs="Arial"/>
        </w:rPr>
        <w:t>Za kwalifikowalne uznaje się następujące wydatki poniesione na pokrycie:</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materiały budowlane;</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9" w:name="_Toc498949832"/>
      <w:bookmarkStart w:id="130" w:name="_Toc466374126"/>
      <w:bookmarkStart w:id="131" w:name="_Toc512234673"/>
      <w:bookmarkEnd w:id="129"/>
      <w:r w:rsidRPr="009C6AED">
        <w:rPr>
          <w:rFonts w:ascii="Arial" w:hAnsi="Arial" w:cs="Arial"/>
          <w:b w:val="0"/>
          <w:i/>
          <w:color w:val="auto"/>
          <w:sz w:val="24"/>
          <w:szCs w:val="24"/>
        </w:rPr>
        <w:t xml:space="preserve">Kwalifikowalność wydatków w ramach pomocy de </w:t>
      </w:r>
      <w:proofErr w:type="spellStart"/>
      <w:r w:rsidRPr="009C6AED">
        <w:rPr>
          <w:rFonts w:ascii="Arial" w:hAnsi="Arial" w:cs="Arial"/>
          <w:b w:val="0"/>
          <w:i/>
          <w:color w:val="auto"/>
          <w:sz w:val="24"/>
          <w:szCs w:val="24"/>
        </w:rPr>
        <w:t>minimis</w:t>
      </w:r>
      <w:bookmarkEnd w:id="130"/>
      <w:bookmarkEnd w:id="131"/>
      <w:proofErr w:type="spellEnd"/>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 xml:space="preserve">de </w:t>
      </w:r>
      <w:proofErr w:type="spellStart"/>
      <w:r w:rsidRPr="009C6AED">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rsidR="00DF65A1" w:rsidRPr="00DB5FC3"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F65A1" w:rsidRPr="00DB5FC3" w:rsidRDefault="00DF65A1"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rsidR="00DF65A1" w:rsidRPr="00906D5B" w:rsidRDefault="00DF65A1"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F65A1" w:rsidRPr="00B7472D" w:rsidRDefault="00DF65A1"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F65A1" w:rsidRPr="00B7472D" w:rsidRDefault="00DF65A1"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2" w:name="_Toc512234674"/>
      <w:r w:rsidRPr="00DB5FC3">
        <w:rPr>
          <w:rFonts w:ascii="Arial" w:hAnsi="Arial" w:cs="Arial"/>
          <w:b w:val="0"/>
          <w:i/>
          <w:color w:val="auto"/>
          <w:sz w:val="24"/>
          <w:szCs w:val="24"/>
        </w:rPr>
        <w:t>Wydatki niekwalifikowalne</w:t>
      </w:r>
      <w:bookmarkEnd w:id="132"/>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B5FC3" w:rsidRPr="006101E2" w:rsidRDefault="00DB5FC3" w:rsidP="00137BC9">
      <w:pPr>
        <w:numPr>
          <w:ilvl w:val="0"/>
          <w:numId w:val="69"/>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Dla projektów realizowanych w obszarze zabudowy:</w:t>
      </w:r>
    </w:p>
    <w:p w:rsidR="00DB5FC3" w:rsidRPr="00846494" w:rsidRDefault="00DB5FC3" w:rsidP="00137BC9">
      <w:pPr>
        <w:numPr>
          <w:ilvl w:val="0"/>
          <w:numId w:val="70"/>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lastRenderedPageBreak/>
        <w:t>wielorodzinnej typu szeregowego, stosuje się odpowiednio zasady dla zabudowy jednorodzinnej, przy czym uznaje się, że każdy wydzielony lokal mieszkalny może być traktowany jak odrębny dom jednorodzinny,</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B5FC3"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B5FC3" w:rsidRPr="000D79AE" w:rsidRDefault="00DB5FC3" w:rsidP="00137BC9">
      <w:pPr>
        <w:pStyle w:val="Akapitzlist"/>
        <w:numPr>
          <w:ilvl w:val="0"/>
          <w:numId w:val="69"/>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w:t>
      </w:r>
      <w:r w:rsidRPr="006101E2">
        <w:rPr>
          <w:rFonts w:ascii="Arial" w:hAnsi="Arial" w:cs="Arial"/>
        </w:rPr>
        <w:lastRenderedPageBreak/>
        <w:t xml:space="preserve">(innych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Koszty pośrednie.</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3" w:name="_Toc512234675"/>
      <w:r>
        <w:rPr>
          <w:rFonts w:ascii="Arial" w:hAnsi="Arial" w:cs="Arial"/>
          <w:b w:val="0"/>
          <w:i/>
          <w:color w:val="auto"/>
          <w:sz w:val="24"/>
          <w:szCs w:val="24"/>
        </w:rPr>
        <w:t>W</w:t>
      </w:r>
      <w:bookmarkStart w:id="134"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3"/>
      <w:bookmarkEnd w:id="134"/>
    </w:p>
    <w:p w:rsidR="00DB5FC3" w:rsidRPr="00846494" w:rsidRDefault="00DB5FC3" w:rsidP="00137BC9">
      <w:pPr>
        <w:numPr>
          <w:ilvl w:val="0"/>
          <w:numId w:val="71"/>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w:t>
      </w:r>
      <w:proofErr w:type="spellStart"/>
      <w:r w:rsidR="000C2C01">
        <w:rPr>
          <w:rFonts w:ascii="Arial" w:hAnsi="Arial" w:cs="Arial"/>
        </w:rPr>
        <w:t>i</w:t>
      </w:r>
      <w:proofErr w:type="spellEnd"/>
      <w:r w:rsidR="000C2C01">
        <w:rPr>
          <w:rFonts w:ascii="Arial" w:hAnsi="Arial" w:cs="Arial"/>
        </w:rPr>
        <w:t xml:space="preserve">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rsidR="00DB5FC3" w:rsidRPr="00846494" w:rsidRDefault="00DB5FC3" w:rsidP="00137BC9">
      <w:pPr>
        <w:numPr>
          <w:ilvl w:val="0"/>
          <w:numId w:val="71"/>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B5FC3" w:rsidRPr="00846EBE" w:rsidRDefault="00DB5FC3" w:rsidP="00137BC9">
      <w:pPr>
        <w:numPr>
          <w:ilvl w:val="0"/>
          <w:numId w:val="71"/>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64366" w:rsidRDefault="00D64366">
      <w:pPr>
        <w:rPr>
          <w:rFonts w:ascii="Arial" w:hAnsi="Arial" w:cs="Arial"/>
          <w:b/>
          <w:i/>
          <w:sz w:val="24"/>
          <w:szCs w:val="24"/>
        </w:rPr>
      </w:pPr>
    </w:p>
    <w:p w:rsidR="00D64366" w:rsidRDefault="00D64366">
      <w:pPr>
        <w:rPr>
          <w:rFonts w:ascii="Arial" w:hAnsi="Arial" w:cs="Arial"/>
          <w:b/>
          <w:i/>
          <w:sz w:val="24"/>
          <w:szCs w:val="24"/>
        </w:rPr>
      </w:pPr>
    </w:p>
    <w:p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5" w:name="_Toc512234676"/>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Pr>
          <w:rFonts w:ascii="Arial" w:hAnsi="Arial" w:cs="Arial"/>
          <w:i/>
          <w:color w:val="auto"/>
          <w:sz w:val="24"/>
          <w:szCs w:val="24"/>
        </w:rPr>
        <w:t>ów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5"/>
      <w:r>
        <w:rPr>
          <w:rFonts w:ascii="Arial" w:hAnsi="Arial" w:cs="Arial"/>
          <w:i/>
          <w:color w:val="auto"/>
          <w:sz w:val="24"/>
          <w:szCs w:val="24"/>
        </w:rPr>
        <w:t xml:space="preserve"> </w:t>
      </w:r>
    </w:p>
    <w:p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512234677"/>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6"/>
    </w:p>
    <w:p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DD0F75" w:rsidRDefault="00DD0F75" w:rsidP="00DD0F75">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DD0F75" w:rsidRPr="0036568A" w:rsidTr="006A27E1">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DD0F75" w:rsidRPr="0036568A" w:rsidTr="006A27E1">
        <w:trPr>
          <w:trHeight w:val="1931"/>
        </w:trPr>
        <w:tc>
          <w:tcPr>
            <w:tcW w:w="4606" w:type="dxa"/>
          </w:tcPr>
          <w:p w:rsidR="00DD0F75" w:rsidRPr="0036568A" w:rsidRDefault="00DD0F75" w:rsidP="00137BC9">
            <w:pPr>
              <w:numPr>
                <w:ilvl w:val="0"/>
                <w:numId w:val="7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rsidR="00DD0F75" w:rsidRPr="0036568A" w:rsidRDefault="00DD0F75" w:rsidP="00137BC9">
            <w:pPr>
              <w:numPr>
                <w:ilvl w:val="0"/>
                <w:numId w:val="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rsidTr="006A27E1">
        <w:tc>
          <w:tcPr>
            <w:tcW w:w="4606" w:type="dxa"/>
          </w:tcPr>
          <w:p w:rsidR="00DD0F75" w:rsidRPr="0036568A" w:rsidRDefault="00DD0F75" w:rsidP="00137BC9">
            <w:pPr>
              <w:numPr>
                <w:ilvl w:val="0"/>
                <w:numId w:val="78"/>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DD0F75" w:rsidRPr="0036568A" w:rsidRDefault="00DD0F75" w:rsidP="00137BC9">
            <w:pPr>
              <w:numPr>
                <w:ilvl w:val="0"/>
                <w:numId w:val="74"/>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DD0F75" w:rsidRPr="0036568A" w:rsidTr="006A27E1">
        <w:tc>
          <w:tcPr>
            <w:tcW w:w="4606" w:type="dxa"/>
          </w:tcPr>
          <w:p w:rsidR="00DD0F75" w:rsidRPr="0036568A" w:rsidRDefault="00DD0F75" w:rsidP="00137BC9">
            <w:pPr>
              <w:numPr>
                <w:ilvl w:val="0"/>
                <w:numId w:val="74"/>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DD0F75" w:rsidRPr="0036568A" w:rsidRDefault="00DD0F75" w:rsidP="00137BC9">
            <w:pPr>
              <w:numPr>
                <w:ilvl w:val="0"/>
                <w:numId w:val="49"/>
              </w:num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DD0F75" w:rsidRPr="0036568A" w:rsidRDefault="00DD0F75" w:rsidP="006A27E1">
            <w:pPr>
              <w:spacing w:after="200" w:line="276" w:lineRule="auto"/>
              <w:rPr>
                <w:rFonts w:ascii="Arial" w:hAnsi="Arial" w:cs="Arial"/>
              </w:rPr>
            </w:pPr>
          </w:p>
        </w:tc>
      </w:tr>
    </w:tbl>
    <w:p w:rsidR="00DD0F75" w:rsidRDefault="00DD0F75" w:rsidP="00DD0F75">
      <w:pPr>
        <w:rPr>
          <w:rFonts w:ascii="Arial" w:hAnsi="Arial" w:cs="Arial"/>
        </w:rPr>
      </w:pPr>
      <w:r>
        <w:rPr>
          <w:rFonts w:ascii="Arial" w:hAnsi="Arial" w:cs="Arial"/>
        </w:rPr>
        <w:br w:type="page"/>
      </w:r>
    </w:p>
    <w:p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DD0F75"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512234678"/>
      <w:r w:rsidRPr="005C74BF">
        <w:rPr>
          <w:rFonts w:ascii="Arial" w:hAnsi="Arial" w:cs="Arial"/>
          <w:b w:val="0"/>
          <w:i/>
          <w:color w:val="auto"/>
          <w:sz w:val="24"/>
          <w:szCs w:val="24"/>
        </w:rPr>
        <w:t>Kwalifikowalność wydatków w ramach pomocy na infrastrukturę szerokopasmową</w:t>
      </w:r>
      <w:bookmarkEnd w:id="137"/>
    </w:p>
    <w:p w:rsidR="00DD0F75" w:rsidRDefault="00DD0F75" w:rsidP="00DD0F75">
      <w:pPr>
        <w:rPr>
          <w:rFonts w:ascii="Arial" w:hAnsi="Arial" w:cs="Arial"/>
        </w:rPr>
      </w:pPr>
      <w:r w:rsidRPr="00C632DB">
        <w:rPr>
          <w:rFonts w:ascii="Arial" w:hAnsi="Arial" w:cs="Arial"/>
        </w:rPr>
        <w:t>Za kwalifikowalne uznaje się następujące wydatki poniesione na pokrycie:</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materiały budowlane;</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lastRenderedPageBreak/>
        <w:t>wraz z kosztem instalacji (wdrożenia), do łącznej wysokości 5% wartości kosztów kwalifikowanych projektu;</w:t>
      </w:r>
    </w:p>
    <w:p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64366" w:rsidRPr="00147534" w:rsidRDefault="00D64366" w:rsidP="00230A42">
      <w:pPr>
        <w:spacing w:before="120" w:after="120" w:line="360" w:lineRule="auto"/>
        <w:jc w:val="both"/>
        <w:rPr>
          <w:rFonts w:ascii="Arial" w:hAnsi="Arial" w:cs="Arial"/>
        </w:rPr>
      </w:pPr>
    </w:p>
    <w:p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512234679"/>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38"/>
      <w:proofErr w:type="spellEnd"/>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rsidR="00DD0F75" w:rsidRPr="00DB5FC3"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D0F75" w:rsidRPr="00DB5FC3" w:rsidRDefault="00DD0F75"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rsidR="00DD0F75" w:rsidRPr="00906D5B" w:rsidRDefault="00DD0F75"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D0F75" w:rsidRPr="00B7472D" w:rsidRDefault="00DD0F75"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D0F75" w:rsidRPr="00B7472D" w:rsidRDefault="00DD0F75"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512234680"/>
      <w:r w:rsidRPr="00DB5FC3">
        <w:rPr>
          <w:rFonts w:ascii="Arial" w:hAnsi="Arial" w:cs="Arial"/>
          <w:b w:val="0"/>
          <w:i/>
          <w:color w:val="auto"/>
          <w:sz w:val="24"/>
          <w:szCs w:val="24"/>
        </w:rPr>
        <w:lastRenderedPageBreak/>
        <w:t>Wydatki niekwalifikowalne</w:t>
      </w:r>
      <w:bookmarkEnd w:id="139"/>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D0F75" w:rsidRPr="006101E2" w:rsidRDefault="00DD0F75" w:rsidP="00A03923">
      <w:pPr>
        <w:numPr>
          <w:ilvl w:val="0"/>
          <w:numId w:val="104"/>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Dla projektów realizowanych w obszarze zabudowy:</w:t>
      </w:r>
    </w:p>
    <w:p w:rsidR="00DD0F75" w:rsidRPr="00846494" w:rsidRDefault="00DD0F75" w:rsidP="00137BC9">
      <w:pPr>
        <w:numPr>
          <w:ilvl w:val="0"/>
          <w:numId w:val="9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w:t>
      </w:r>
      <w:r w:rsidRPr="006101E2">
        <w:rPr>
          <w:rFonts w:ascii="Arial" w:hAnsi="Arial" w:cs="Arial"/>
        </w:rPr>
        <w:lastRenderedPageBreak/>
        <w:t xml:space="preserve">przypadku projektów współfinansowanych z POPC, wskazana definicja będzie stosowana odpowiednio również do budynków istniejących) do zakończenia sieci, </w:t>
      </w:r>
    </w:p>
    <w:p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D0F75"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D0F75" w:rsidRPr="000D79AE" w:rsidRDefault="00DD0F75" w:rsidP="00A03923">
      <w:pPr>
        <w:pStyle w:val="Akapitzlist"/>
        <w:numPr>
          <w:ilvl w:val="0"/>
          <w:numId w:val="104"/>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lastRenderedPageBreak/>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Koszty pośrednie.</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40" w:name="_Toc512234681"/>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40"/>
    </w:p>
    <w:p w:rsidR="00DD0F75" w:rsidRPr="00846494" w:rsidRDefault="00DD0F75" w:rsidP="00137BC9">
      <w:pPr>
        <w:numPr>
          <w:ilvl w:val="0"/>
          <w:numId w:val="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w:t>
      </w:r>
      <w:proofErr w:type="spellStart"/>
      <w:r w:rsidR="006518C3">
        <w:rPr>
          <w:rFonts w:ascii="Arial" w:hAnsi="Arial" w:cs="Arial"/>
        </w:rPr>
        <w:t>i</w:t>
      </w:r>
      <w:proofErr w:type="spellEnd"/>
      <w:r w:rsidR="006518C3">
        <w:rPr>
          <w:rFonts w:ascii="Arial" w:hAnsi="Arial" w:cs="Arial"/>
        </w:rPr>
        <w:t xml:space="preserve">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rsidR="00DD0F75" w:rsidRPr="00846494" w:rsidRDefault="00DD0F75" w:rsidP="00137BC9">
      <w:pPr>
        <w:numPr>
          <w:ilvl w:val="0"/>
          <w:numId w:val="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D0F75" w:rsidRPr="00147534" w:rsidRDefault="00DD0F75" w:rsidP="00137BC9">
      <w:pPr>
        <w:numPr>
          <w:ilvl w:val="0"/>
          <w:numId w:val="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B5FC3" w:rsidRDefault="00DB5FC3">
      <w:pPr>
        <w:rPr>
          <w:rFonts w:ascii="Arial" w:hAnsi="Arial" w:cs="Arial"/>
          <w:sz w:val="24"/>
          <w:szCs w:val="24"/>
        </w:rPr>
      </w:pPr>
      <w:r>
        <w:rPr>
          <w:rFonts w:ascii="Arial" w:hAnsi="Arial" w:cs="Arial"/>
          <w:b/>
          <w:i/>
          <w:sz w:val="24"/>
          <w:szCs w:val="24"/>
        </w:rPr>
        <w:br w:type="page"/>
      </w:r>
    </w:p>
    <w:p w:rsidR="00EE7DEE" w:rsidRPr="008D2916" w:rsidRDefault="00EE7DEE" w:rsidP="00EE7DEE">
      <w:pPr>
        <w:pStyle w:val="Akapitzlist"/>
        <w:keepNext/>
        <w:keepLines/>
        <w:numPr>
          <w:ilvl w:val="1"/>
          <w:numId w:val="1"/>
        </w:numPr>
        <w:spacing w:before="240" w:after="60" w:line="360" w:lineRule="auto"/>
        <w:contextualSpacing w:val="0"/>
        <w:jc w:val="center"/>
        <w:outlineLvl w:val="1"/>
        <w:rPr>
          <w:rFonts w:ascii="Arial" w:eastAsiaTheme="majorEastAsia" w:hAnsi="Arial" w:cs="Arial"/>
          <w:bCs/>
          <w:i/>
          <w:vanish/>
          <w:sz w:val="24"/>
          <w:szCs w:val="24"/>
        </w:rPr>
      </w:pPr>
      <w:bookmarkStart w:id="141" w:name="_Toc512234682"/>
      <w:r w:rsidRPr="008D2916">
        <w:rPr>
          <w:rFonts w:ascii="Arial" w:hAnsi="Arial" w:cs="Arial"/>
          <w:i/>
          <w:sz w:val="24"/>
          <w:szCs w:val="24"/>
        </w:rPr>
        <w:lastRenderedPageBreak/>
        <w:t>Katalog wydatków kwalifikowalnych dla projektów Ogólnopolskiej Sieci Edukacyjnej (OSE)</w:t>
      </w:r>
      <w:bookmarkEnd w:id="141"/>
    </w:p>
    <w:p w:rsidR="00A25E1B" w:rsidRDefault="00A25E1B" w:rsidP="00EE7DEE">
      <w:pPr>
        <w:pStyle w:val="Nagwek2"/>
        <w:numPr>
          <w:ilvl w:val="2"/>
          <w:numId w:val="1"/>
        </w:numPr>
        <w:spacing w:before="240" w:after="60" w:line="360" w:lineRule="auto"/>
        <w:jc w:val="center"/>
        <w:rPr>
          <w:rFonts w:ascii="Arial" w:hAnsi="Arial" w:cs="Arial"/>
          <w:b w:val="0"/>
          <w:i/>
          <w:color w:val="auto"/>
          <w:sz w:val="24"/>
          <w:szCs w:val="24"/>
        </w:rPr>
      </w:pPr>
      <w:bookmarkStart w:id="142" w:name="_Toc512234683"/>
      <w:bookmarkEnd w:id="142"/>
    </w:p>
    <w:p w:rsidR="00D52B4A" w:rsidRPr="00D52B4A" w:rsidRDefault="00D52B4A" w:rsidP="00D52B4A">
      <w:pPr>
        <w:pStyle w:val="Akapitzlist"/>
        <w:keepNext/>
        <w:keepLines/>
        <w:numPr>
          <w:ilvl w:val="0"/>
          <w:numId w:val="102"/>
        </w:numPr>
        <w:spacing w:before="240" w:after="60" w:line="360" w:lineRule="auto"/>
        <w:contextualSpacing w:val="0"/>
        <w:jc w:val="center"/>
        <w:outlineLvl w:val="1"/>
        <w:rPr>
          <w:rFonts w:ascii="Arial" w:eastAsiaTheme="majorEastAsia" w:hAnsi="Arial" w:cs="Arial"/>
          <w:bCs/>
          <w:i/>
          <w:vanish/>
          <w:sz w:val="24"/>
          <w:szCs w:val="24"/>
        </w:rPr>
      </w:pPr>
      <w:bookmarkStart w:id="143" w:name="_Toc512234684"/>
      <w:bookmarkEnd w:id="143"/>
    </w:p>
    <w:p w:rsidR="00D52B4A" w:rsidRPr="00D52B4A" w:rsidRDefault="00D52B4A" w:rsidP="00D52B4A">
      <w:pPr>
        <w:pStyle w:val="Akapitzlist"/>
        <w:keepNext/>
        <w:keepLines/>
        <w:numPr>
          <w:ilvl w:val="1"/>
          <w:numId w:val="102"/>
        </w:numPr>
        <w:spacing w:before="240" w:after="60" w:line="360" w:lineRule="auto"/>
        <w:contextualSpacing w:val="0"/>
        <w:jc w:val="center"/>
        <w:outlineLvl w:val="1"/>
        <w:rPr>
          <w:rFonts w:ascii="Arial" w:eastAsiaTheme="majorEastAsia" w:hAnsi="Arial" w:cs="Arial"/>
          <w:bCs/>
          <w:i/>
          <w:vanish/>
          <w:sz w:val="24"/>
          <w:szCs w:val="24"/>
        </w:rPr>
      </w:pPr>
      <w:bookmarkStart w:id="144" w:name="_Toc512234685"/>
      <w:bookmarkEnd w:id="144"/>
    </w:p>
    <w:p w:rsidR="008A559B" w:rsidRDefault="008A559B" w:rsidP="00D52B4A">
      <w:pPr>
        <w:pStyle w:val="Nagwek2"/>
        <w:numPr>
          <w:ilvl w:val="2"/>
          <w:numId w:val="108"/>
        </w:numPr>
        <w:spacing w:before="240" w:after="60" w:line="360" w:lineRule="auto"/>
        <w:jc w:val="center"/>
        <w:rPr>
          <w:rFonts w:ascii="Arial" w:hAnsi="Arial" w:cs="Arial"/>
          <w:b w:val="0"/>
          <w:i/>
          <w:color w:val="auto"/>
          <w:sz w:val="24"/>
          <w:szCs w:val="24"/>
        </w:rPr>
      </w:pPr>
      <w:bookmarkStart w:id="145" w:name="_Toc512234686"/>
      <w:r w:rsidRPr="008A559B">
        <w:rPr>
          <w:rFonts w:ascii="Arial" w:hAnsi="Arial" w:cs="Arial"/>
          <w:b w:val="0"/>
          <w:i/>
          <w:color w:val="auto"/>
          <w:sz w:val="24"/>
          <w:szCs w:val="24"/>
        </w:rPr>
        <w:t>Wydatki kwalifikowalne</w:t>
      </w:r>
      <w:bookmarkEnd w:id="145"/>
    </w:p>
    <w:p w:rsidR="00EE7DEE" w:rsidRPr="007E469E" w:rsidRDefault="00EE7DEE" w:rsidP="00EE7DEE">
      <w:pPr>
        <w:spacing w:before="120" w:after="120" w:line="360" w:lineRule="auto"/>
        <w:jc w:val="both"/>
        <w:rPr>
          <w:rFonts w:ascii="Arial" w:eastAsia="MS Mincho" w:hAnsi="Arial" w:cs="Arial"/>
          <w:lang w:eastAsia="ja-JP"/>
        </w:rPr>
      </w:pPr>
      <w:r w:rsidRPr="007E469E">
        <w:rPr>
          <w:rFonts w:ascii="Arial" w:eastAsia="MS Mincho" w:hAnsi="Arial" w:cs="Arial"/>
          <w:lang w:eastAsia="ja-JP"/>
        </w:rPr>
        <w:t xml:space="preserve">Wydatki kwalifikowalne </w:t>
      </w:r>
      <w:r>
        <w:rPr>
          <w:rFonts w:ascii="Arial" w:eastAsia="MS Mincho" w:hAnsi="Arial" w:cs="Arial"/>
          <w:lang w:eastAsia="ja-JP"/>
        </w:rPr>
        <w:t xml:space="preserve">w projektach OSE wskazane </w:t>
      </w:r>
      <w:r w:rsidRPr="007E469E">
        <w:rPr>
          <w:rFonts w:ascii="Arial" w:eastAsia="MS Mincho" w:hAnsi="Arial" w:cs="Arial"/>
          <w:lang w:eastAsia="ja-JP"/>
        </w:rPr>
        <w:t>w ni</w:t>
      </w:r>
      <w:r>
        <w:rPr>
          <w:rFonts w:ascii="Arial" w:eastAsia="MS Mincho" w:hAnsi="Arial" w:cs="Arial"/>
          <w:lang w:eastAsia="ja-JP"/>
        </w:rPr>
        <w:t xml:space="preserve">niejszej sekcji </w:t>
      </w:r>
      <w:r w:rsidRPr="007E469E">
        <w:rPr>
          <w:rFonts w:ascii="Arial" w:eastAsia="MS Mincho" w:hAnsi="Arial" w:cs="Arial"/>
          <w:lang w:eastAsia="ja-JP"/>
        </w:rPr>
        <w:t xml:space="preserve">zostały zaprezentowane w podziale na kategorie i podkategorie. </w:t>
      </w:r>
    </w:p>
    <w:tbl>
      <w:tblPr>
        <w:tblStyle w:val="Tabela-Siatka"/>
        <w:tblW w:w="9498" w:type="dxa"/>
        <w:tblInd w:w="-176" w:type="dxa"/>
        <w:tblLook w:val="04A0" w:firstRow="1" w:lastRow="0" w:firstColumn="1" w:lastColumn="0" w:noHBand="0" w:noVBand="1"/>
      </w:tblPr>
      <w:tblGrid>
        <w:gridCol w:w="4537"/>
        <w:gridCol w:w="4961"/>
      </w:tblGrid>
      <w:tr w:rsidR="00EE7DEE" w:rsidRPr="00A445A6" w:rsidTr="00EE7DEE">
        <w:tc>
          <w:tcPr>
            <w:tcW w:w="4537" w:type="dxa"/>
          </w:tcPr>
          <w:p w:rsidR="00EE7DEE" w:rsidRDefault="00EE7DEE" w:rsidP="008D2916">
            <w:pPr>
              <w:jc w:val="center"/>
              <w:rPr>
                <w:rFonts w:ascii="Arial" w:hAnsi="Arial" w:cs="Arial"/>
                <w:b/>
                <w:bCs/>
              </w:rPr>
            </w:pPr>
          </w:p>
          <w:p w:rsidR="00EE7DEE" w:rsidRDefault="00EE7DEE" w:rsidP="008D2916">
            <w:pPr>
              <w:jc w:val="center"/>
              <w:rPr>
                <w:rFonts w:ascii="Arial" w:hAnsi="Arial" w:cs="Arial"/>
                <w:b/>
                <w:bCs/>
              </w:rPr>
            </w:pPr>
            <w:r w:rsidRPr="00A445A6">
              <w:rPr>
                <w:rFonts w:ascii="Arial" w:hAnsi="Arial" w:cs="Arial"/>
                <w:b/>
                <w:bCs/>
              </w:rPr>
              <w:t>Kategoria</w:t>
            </w:r>
          </w:p>
          <w:p w:rsidR="00EE7DEE" w:rsidRPr="00A445A6" w:rsidRDefault="00EE7DEE" w:rsidP="008D2916">
            <w:pPr>
              <w:jc w:val="center"/>
              <w:rPr>
                <w:rFonts w:ascii="Arial" w:hAnsi="Arial" w:cs="Arial"/>
                <w:b/>
                <w:bCs/>
              </w:rPr>
            </w:pPr>
          </w:p>
        </w:tc>
        <w:tc>
          <w:tcPr>
            <w:tcW w:w="4961" w:type="dxa"/>
          </w:tcPr>
          <w:p w:rsidR="00EE7DEE" w:rsidRDefault="00EE7DEE" w:rsidP="008D2916">
            <w:pPr>
              <w:jc w:val="center"/>
              <w:rPr>
                <w:rFonts w:ascii="Arial" w:hAnsi="Arial" w:cs="Arial"/>
                <w:b/>
                <w:bCs/>
              </w:rPr>
            </w:pPr>
          </w:p>
          <w:p w:rsidR="00EE7DEE" w:rsidRPr="00A445A6" w:rsidRDefault="00EE7DEE" w:rsidP="008D2916">
            <w:pPr>
              <w:jc w:val="center"/>
              <w:rPr>
                <w:rFonts w:ascii="Arial" w:hAnsi="Arial" w:cs="Arial"/>
                <w:b/>
                <w:bCs/>
              </w:rPr>
            </w:pPr>
            <w:r w:rsidRPr="00A445A6">
              <w:rPr>
                <w:rFonts w:ascii="Arial" w:hAnsi="Arial" w:cs="Arial"/>
                <w:b/>
                <w:bCs/>
              </w:rPr>
              <w:t>Podkategoria</w:t>
            </w:r>
          </w:p>
        </w:tc>
      </w:tr>
      <w:tr w:rsidR="00EE7DEE" w:rsidRPr="0058141D" w:rsidTr="00EE7DEE">
        <w:tc>
          <w:tcPr>
            <w:tcW w:w="4537" w:type="dxa"/>
          </w:tcPr>
          <w:p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Środki trwałe i wartości niematerialne i prawne</w:t>
            </w:r>
            <w:r>
              <w:rPr>
                <w:rFonts w:ascii="Arial" w:eastAsia="Times New Roman" w:hAnsi="Arial" w:cs="Arial"/>
                <w:lang w:eastAsia="pl-PL"/>
              </w:rPr>
              <w:t xml:space="preserve"> oraz </w:t>
            </w:r>
            <w:r w:rsidRPr="0058141D">
              <w:rPr>
                <w:rFonts w:ascii="Arial" w:eastAsia="Times New Roman" w:hAnsi="Arial" w:cs="Arial"/>
                <w:lang w:eastAsia="pl-PL"/>
              </w:rPr>
              <w:t>rzeczowe aktywa niestanowiące środków trwałych</w:t>
            </w:r>
          </w:p>
        </w:tc>
        <w:tc>
          <w:tcPr>
            <w:tcW w:w="4961" w:type="dxa"/>
          </w:tcPr>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urządzenia i budowle </w:t>
            </w:r>
            <w:r>
              <w:rPr>
                <w:rFonts w:ascii="Arial" w:eastAsia="Times New Roman" w:hAnsi="Arial" w:cs="Arial"/>
                <w:lang w:eastAsia="pl-PL"/>
              </w:rPr>
              <w:t>będące</w:t>
            </w:r>
            <w:r w:rsidRPr="0058141D">
              <w:rPr>
                <w:rFonts w:ascii="Arial" w:eastAsia="Times New Roman" w:hAnsi="Arial" w:cs="Arial"/>
                <w:lang w:eastAsia="pl-PL"/>
              </w:rPr>
              <w:t xml:space="preserve"> środkami trwałymi, </w:t>
            </w:r>
          </w:p>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licencje i oprogramowanie </w:t>
            </w:r>
            <w:r>
              <w:rPr>
                <w:rFonts w:ascii="Arial" w:eastAsia="Times New Roman" w:hAnsi="Arial" w:cs="Arial"/>
                <w:lang w:eastAsia="pl-PL"/>
              </w:rPr>
              <w:t>będące</w:t>
            </w:r>
            <w:r w:rsidRPr="0058141D">
              <w:rPr>
                <w:rFonts w:ascii="Arial" w:eastAsia="Times New Roman" w:hAnsi="Arial" w:cs="Arial"/>
                <w:lang w:eastAsia="pl-PL"/>
              </w:rPr>
              <w:t xml:space="preserve"> wartościami niematerialnymi prawnymi</w:t>
            </w:r>
            <w:r>
              <w:rPr>
                <w:rFonts w:ascii="Arial" w:eastAsia="Times New Roman" w:hAnsi="Arial" w:cs="Arial"/>
                <w:lang w:eastAsia="pl-PL"/>
              </w:rPr>
              <w:t>,</w:t>
            </w:r>
          </w:p>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materiały, elementy i urządzenia nie</w:t>
            </w:r>
            <w:r>
              <w:rPr>
                <w:rFonts w:ascii="Arial" w:eastAsia="Times New Roman" w:hAnsi="Arial" w:cs="Arial"/>
                <w:lang w:eastAsia="pl-PL"/>
              </w:rPr>
              <w:t>będące</w:t>
            </w:r>
            <w:r w:rsidRPr="0058141D">
              <w:rPr>
                <w:rFonts w:ascii="Arial" w:eastAsia="Times New Roman" w:hAnsi="Arial" w:cs="Arial"/>
                <w:lang w:eastAsia="pl-PL"/>
              </w:rPr>
              <w:t xml:space="preserve"> środkami trwałymi lub ich elementami</w:t>
            </w:r>
            <w:r>
              <w:rPr>
                <w:rFonts w:ascii="Arial" w:eastAsia="Times New Roman" w:hAnsi="Arial" w:cs="Arial"/>
                <w:lang w:eastAsia="pl-PL"/>
              </w:rPr>
              <w:t>.</w:t>
            </w:r>
          </w:p>
        </w:tc>
      </w:tr>
      <w:tr w:rsidR="00EE7DEE" w:rsidRPr="008B019A" w:rsidTr="00EE7DEE">
        <w:tc>
          <w:tcPr>
            <w:tcW w:w="4537" w:type="dxa"/>
          </w:tcPr>
          <w:p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Wynagrodzenia pracowników wykonujących merytoryczne zadania bezpośrednio związane z głównymi celami i produktami projektu</w:t>
            </w:r>
          </w:p>
        </w:tc>
        <w:tc>
          <w:tcPr>
            <w:tcW w:w="4961" w:type="dxa"/>
          </w:tcPr>
          <w:p w:rsidR="00EE7DEE" w:rsidRPr="008B019A" w:rsidRDefault="00EE7DEE" w:rsidP="008D2916">
            <w:pPr>
              <w:spacing w:before="120" w:after="120" w:line="360" w:lineRule="auto"/>
              <w:jc w:val="both"/>
              <w:rPr>
                <w:rFonts w:ascii="Arial" w:eastAsia="Times New Roman" w:hAnsi="Arial" w:cs="Arial"/>
                <w:lang w:eastAsia="pl-PL"/>
              </w:rPr>
            </w:pPr>
          </w:p>
        </w:tc>
      </w:tr>
      <w:tr w:rsidR="00EE7DEE" w:rsidRPr="0058141D" w:rsidTr="00EE7DEE">
        <w:tc>
          <w:tcPr>
            <w:tcW w:w="4537" w:type="dxa"/>
          </w:tcPr>
          <w:p w:rsidR="00EE7DEE" w:rsidRPr="004F27FF"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4F27FF">
              <w:rPr>
                <w:rFonts w:ascii="Arial" w:eastAsia="Times New Roman" w:hAnsi="Arial" w:cs="Arial"/>
                <w:lang w:eastAsia="pl-PL"/>
              </w:rPr>
              <w:t>Usługi zewnętrzne</w:t>
            </w:r>
          </w:p>
        </w:tc>
        <w:tc>
          <w:tcPr>
            <w:tcW w:w="4961" w:type="dxa"/>
          </w:tcPr>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przygotowanie projektu</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wsparcia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telekomunikacyjne i teleinformatyczne</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serwis urządzeń</w:t>
            </w:r>
            <w:r>
              <w:rPr>
                <w:rFonts w:ascii="Arial" w:eastAsia="Times New Roman" w:hAnsi="Arial" w:cs="Arial"/>
                <w:lang w:eastAsia="pl-PL"/>
              </w:rPr>
              <w:t xml:space="preserve"> </w:t>
            </w:r>
            <w:r w:rsidRPr="0058141D">
              <w:rPr>
                <w:rFonts w:ascii="Arial" w:eastAsia="Times New Roman" w:hAnsi="Arial" w:cs="Arial"/>
                <w:lang w:eastAsia="pl-PL"/>
              </w:rPr>
              <w:t>wsparcie dla oprogramowania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kolokacja i najem miejsca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dostawa prądu i innych mediów</w:t>
            </w:r>
            <w:r>
              <w:rPr>
                <w:rFonts w:ascii="Arial" w:eastAsia="Times New Roman" w:hAnsi="Arial" w:cs="Arial"/>
                <w:lang w:eastAsia="pl-PL"/>
              </w:rPr>
              <w:t>,</w:t>
            </w:r>
            <w:r w:rsidRPr="0058141D">
              <w:rPr>
                <w:rFonts w:ascii="Arial" w:eastAsia="Times New Roman" w:hAnsi="Arial" w:cs="Arial"/>
                <w:lang w:eastAsia="pl-PL"/>
              </w:rPr>
              <w:t xml:space="preserve"> </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transport</w:t>
            </w:r>
            <w:r>
              <w:rPr>
                <w:rFonts w:ascii="Arial" w:eastAsia="Times New Roman" w:hAnsi="Arial" w:cs="Arial"/>
                <w:lang w:eastAsia="pl-PL"/>
              </w:rPr>
              <w:t>.</w:t>
            </w:r>
          </w:p>
        </w:tc>
      </w:tr>
      <w:tr w:rsidR="00EE7DEE" w:rsidRPr="008B019A" w:rsidTr="00EE7DEE">
        <w:tc>
          <w:tcPr>
            <w:tcW w:w="4537" w:type="dxa"/>
          </w:tcPr>
          <w:p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 xml:space="preserve">Informacja i </w:t>
            </w:r>
            <w:r w:rsidR="008D2916">
              <w:rPr>
                <w:rFonts w:ascii="Arial" w:eastAsia="Times New Roman" w:hAnsi="Arial" w:cs="Arial"/>
                <w:lang w:eastAsia="pl-PL"/>
              </w:rPr>
              <w:t>p</w:t>
            </w:r>
            <w:r w:rsidRPr="00127E66">
              <w:rPr>
                <w:rFonts w:ascii="Arial" w:eastAsia="Times New Roman" w:hAnsi="Arial" w:cs="Arial"/>
                <w:lang w:eastAsia="pl-PL"/>
              </w:rPr>
              <w:t>romocja</w:t>
            </w:r>
          </w:p>
        </w:tc>
        <w:tc>
          <w:tcPr>
            <w:tcW w:w="4961" w:type="dxa"/>
          </w:tcPr>
          <w:p w:rsidR="00EE7DEE" w:rsidRPr="008B019A" w:rsidRDefault="00EE7DEE" w:rsidP="008D2916">
            <w:pPr>
              <w:spacing w:before="120" w:after="120" w:line="360" w:lineRule="auto"/>
              <w:ind w:left="360"/>
              <w:jc w:val="both"/>
              <w:rPr>
                <w:rFonts w:ascii="Arial" w:eastAsia="Times New Roman" w:hAnsi="Arial" w:cs="Arial"/>
                <w:lang w:eastAsia="pl-PL"/>
              </w:rPr>
            </w:pPr>
          </w:p>
        </w:tc>
      </w:tr>
      <w:tr w:rsidR="00EE7DEE" w:rsidRPr="008B019A" w:rsidTr="00EE7DEE">
        <w:tc>
          <w:tcPr>
            <w:tcW w:w="4537" w:type="dxa"/>
          </w:tcPr>
          <w:p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lastRenderedPageBreak/>
              <w:t>Wydatki poniesione na pokrycie kosztów pośrednich</w:t>
            </w:r>
          </w:p>
        </w:tc>
        <w:tc>
          <w:tcPr>
            <w:tcW w:w="4961" w:type="dxa"/>
          </w:tcPr>
          <w:p w:rsidR="00EE7DEE" w:rsidRPr="008B019A" w:rsidRDefault="00EE7DEE" w:rsidP="008D2916">
            <w:pPr>
              <w:spacing w:before="120" w:after="120" w:line="360" w:lineRule="auto"/>
              <w:jc w:val="both"/>
              <w:rPr>
                <w:rFonts w:ascii="Arial" w:eastAsia="Times New Roman" w:hAnsi="Arial" w:cs="Arial"/>
                <w:lang w:eastAsia="pl-PL"/>
              </w:rPr>
            </w:pPr>
          </w:p>
        </w:tc>
      </w:tr>
    </w:tbl>
    <w:p w:rsidR="008A559B" w:rsidRDefault="008A559B" w:rsidP="008A559B"/>
    <w:p w:rsidR="00EE7DEE" w:rsidRDefault="00EE7DEE" w:rsidP="00137BC9">
      <w:pPr>
        <w:numPr>
          <w:ilvl w:val="0"/>
          <w:numId w:val="91"/>
        </w:numPr>
        <w:spacing w:before="120" w:after="120" w:line="360" w:lineRule="auto"/>
        <w:jc w:val="both"/>
        <w:rPr>
          <w:rFonts w:ascii="Arial" w:hAnsi="Arial" w:cs="Arial"/>
        </w:rPr>
      </w:pPr>
      <w:r w:rsidRPr="00EE7DEE">
        <w:rPr>
          <w:rFonts w:ascii="Arial" w:hAnsi="Arial" w:cs="Arial"/>
        </w:rPr>
        <w:t>Środki trwałe i wartości niematerialne i prawne oraz rzeczowe aktywa niestanowiące środków trwałych</w:t>
      </w:r>
      <w:r w:rsidR="00A03923">
        <w:rPr>
          <w:rFonts w:ascii="Arial" w:hAnsi="Arial" w:cs="Arial"/>
        </w:rPr>
        <w:t>.</w:t>
      </w:r>
    </w:p>
    <w:p w:rsidR="00EE7DEE" w:rsidRPr="00EE7DEE" w:rsidRDefault="00EE7DEE" w:rsidP="00EE7DEE">
      <w:pPr>
        <w:spacing w:before="120" w:after="120" w:line="360" w:lineRule="auto"/>
        <w:ind w:left="426"/>
        <w:jc w:val="both"/>
        <w:rPr>
          <w:rFonts w:ascii="Arial" w:hAnsi="Arial" w:cs="Arial"/>
        </w:rPr>
      </w:pPr>
      <w:r w:rsidRPr="00EE7DEE">
        <w:rPr>
          <w:rFonts w:ascii="Arial" w:hAnsi="Arial" w:cs="Arial"/>
        </w:rPr>
        <w:t>W ramach tej kategorii kwalifikowane są wydatki na pokrycie kosztów zakupu:</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urządzeń i budowli będących środkami trwałymi niezbędnych do realizacji projektu, takich jak:</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w:t>
      </w:r>
      <w:r w:rsidRPr="001B7151">
        <w:rPr>
          <w:rFonts w:ascii="Arial" w:eastAsia="Times New Roman" w:hAnsi="Arial" w:cs="Arial"/>
          <w:lang w:eastAsia="pl-PL"/>
        </w:rPr>
        <w:tab/>
        <w:t>urządzenia techniczne (np. urządzenia końcowe – CPE, punkty dostępowe WLAN – AP, przełączniki sieciowe, routery, urządzenia bezpieczeństwa takie jak np. firewall, bramy, serwery, macierze, biblioteki taśmowe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infrastruktura techniczna (np. szafy telekomunikacyjne, UPS, klimatyzacja, system monitoringu, modem GSM, przełącznica, krosownica, pole zasilania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iii.</w:t>
      </w:r>
      <w:r w:rsidRPr="001B7151">
        <w:rPr>
          <w:rFonts w:ascii="Arial" w:eastAsia="Times New Roman" w:hAnsi="Arial" w:cs="Arial"/>
          <w:lang w:eastAsia="pl-PL"/>
        </w:rPr>
        <w:tab/>
        <w:t>kabel telekomunikacyjny z instalacją, kanalizacja teletechniczna (w budynku, w gruncie, w kanalizacji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iv.</w:t>
      </w:r>
      <w:r w:rsidRPr="001B7151">
        <w:rPr>
          <w:rFonts w:ascii="Arial" w:eastAsia="Times New Roman" w:hAnsi="Arial" w:cs="Arial"/>
          <w:lang w:eastAsia="pl-PL"/>
        </w:rPr>
        <w:tab/>
        <w:t xml:space="preserve">elementy urządzeń telekomunikacyjnych (np. karty do istniejących routerów, </w:t>
      </w:r>
      <w:proofErr w:type="spellStart"/>
      <w:r w:rsidRPr="001B7151">
        <w:rPr>
          <w:rFonts w:ascii="Arial" w:eastAsia="Times New Roman" w:hAnsi="Arial" w:cs="Arial"/>
          <w:lang w:eastAsia="pl-PL"/>
        </w:rPr>
        <w:t>switchy</w:t>
      </w:r>
      <w:proofErr w:type="spellEnd"/>
      <w:r w:rsidRPr="001B7151">
        <w:rPr>
          <w:rFonts w:ascii="Arial" w:eastAsia="Times New Roman" w:hAnsi="Arial" w:cs="Arial"/>
          <w:lang w:eastAsia="pl-PL"/>
        </w:rPr>
        <w:t xml:space="preserve"> itp.);</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licencji i oprogramowania będących wartościami niematerialnymi prawnymi</w:t>
      </w:r>
      <w:r w:rsidR="00A03923">
        <w:rPr>
          <w:rFonts w:ascii="Arial" w:hAnsi="Arial" w:cs="Arial"/>
        </w:rPr>
        <w:t>,</w:t>
      </w:r>
      <w:r w:rsidRPr="00EE7DEE">
        <w:rPr>
          <w:rFonts w:ascii="Arial" w:hAnsi="Arial" w:cs="Arial"/>
        </w:rPr>
        <w:t xml:space="preserve"> niezbędnych do realizacji projektu, takich jak:</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EE7DEE">
        <w:rPr>
          <w:rFonts w:ascii="Arial" w:hAnsi="Arial" w:cs="Arial"/>
        </w:rPr>
        <w:t>i</w:t>
      </w:r>
      <w:r w:rsidRPr="001B7151">
        <w:rPr>
          <w:rFonts w:ascii="Arial" w:eastAsia="Times New Roman" w:hAnsi="Arial" w:cs="Arial"/>
          <w:lang w:eastAsia="pl-PL"/>
        </w:rPr>
        <w:t>.</w:t>
      </w:r>
      <w:r w:rsidRPr="001B7151">
        <w:rPr>
          <w:rFonts w:ascii="Arial" w:eastAsia="Times New Roman" w:hAnsi="Arial" w:cs="Arial"/>
          <w:lang w:eastAsia="pl-PL"/>
        </w:rPr>
        <w:tab/>
        <w:t>licencje na oprogramowanie (np. system zarządzania, systemy bezpieczeństwa, rozbudowa systemu zarządzania, portal fazy początkowej, systemy wirtualizacji, oprogramowanie systemowe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licencje na dostęp do baz danych, systemów gromadzących dane oraz plików z informacjami (np. sygnatury treści zakazanych, sygnatury wirusów, sygnatury ataków itp.)</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materiałów, elementów i urządzeń niebędących środkami trwałymi lub ich elementami, takich jak:</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w:t>
      </w:r>
      <w:r w:rsidRPr="00EE7DEE">
        <w:rPr>
          <w:rFonts w:ascii="Arial" w:hAnsi="Arial" w:cs="Arial"/>
        </w:rPr>
        <w:tab/>
      </w:r>
      <w:proofErr w:type="spellStart"/>
      <w:r w:rsidRPr="00EE7DEE">
        <w:rPr>
          <w:rFonts w:ascii="Arial" w:hAnsi="Arial" w:cs="Arial"/>
        </w:rPr>
        <w:t>niskocenne</w:t>
      </w:r>
      <w:proofErr w:type="spellEnd"/>
      <w:r w:rsidRPr="00EE7DEE">
        <w:rPr>
          <w:rFonts w:ascii="Arial" w:hAnsi="Arial" w:cs="Arial"/>
        </w:rPr>
        <w:t xml:space="preserve"> urządzenia i elementy (np. wkładki światłowodowe, narzędzia itp.)</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w:t>
      </w:r>
      <w:r w:rsidRPr="00EE7DEE">
        <w:rPr>
          <w:rFonts w:ascii="Arial" w:hAnsi="Arial" w:cs="Arial"/>
        </w:rPr>
        <w:tab/>
        <w:t xml:space="preserve">materiały (np. kabel LAN, złączki, gniazda, </w:t>
      </w:r>
      <w:proofErr w:type="spellStart"/>
      <w:r w:rsidRPr="00EE7DEE">
        <w:rPr>
          <w:rFonts w:ascii="Arial" w:hAnsi="Arial" w:cs="Arial"/>
        </w:rPr>
        <w:t>patchpanele</w:t>
      </w:r>
      <w:proofErr w:type="spellEnd"/>
      <w:r w:rsidRPr="00EE7DEE">
        <w:rPr>
          <w:rFonts w:ascii="Arial" w:hAnsi="Arial" w:cs="Arial"/>
        </w:rPr>
        <w:t>, łączniki itp.)</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iii.</w:t>
      </w:r>
      <w:r w:rsidRPr="00EE7DEE">
        <w:rPr>
          <w:rFonts w:ascii="Arial" w:hAnsi="Arial" w:cs="Arial"/>
        </w:rPr>
        <w:tab/>
        <w:t>infrastruktura techniczna (np. szafy telekomunikacyjne, UPS, klimatyzacja, system monitoringu, modem GSM, przełącznica, krosownica, pole zasilania itp.) – o wartości jednostkowej poniżej 10 000,00 zł.</w:t>
      </w:r>
    </w:p>
    <w:p w:rsidR="00792193" w:rsidRDefault="008D2916" w:rsidP="00137BC9">
      <w:pPr>
        <w:numPr>
          <w:ilvl w:val="0"/>
          <w:numId w:val="91"/>
        </w:numPr>
        <w:spacing w:before="120" w:after="120" w:line="360" w:lineRule="auto"/>
        <w:jc w:val="both"/>
        <w:rPr>
          <w:rFonts w:ascii="Arial" w:hAnsi="Arial" w:cs="Arial"/>
        </w:rPr>
      </w:pPr>
      <w:r w:rsidRPr="001B7151">
        <w:rPr>
          <w:rFonts w:ascii="Arial" w:hAnsi="Arial" w:cs="Arial"/>
        </w:rPr>
        <w:lastRenderedPageBreak/>
        <w:t xml:space="preserve">Wynagrodzenia pracowników </w:t>
      </w:r>
      <w:r w:rsidR="00792193" w:rsidRPr="00792193">
        <w:rPr>
          <w:rFonts w:ascii="Arial" w:hAnsi="Arial" w:cs="Arial"/>
        </w:rPr>
        <w:t>wykonujących merytoryczne zadania bezpośrednio związane z głównymi celami i produktami projektu</w:t>
      </w:r>
      <w:r w:rsidR="00792193">
        <w:rPr>
          <w:rFonts w:ascii="Arial" w:hAnsi="Arial" w:cs="Arial"/>
        </w:rPr>
        <w:t>.</w:t>
      </w:r>
    </w:p>
    <w:p w:rsidR="00792193" w:rsidRDefault="00792193" w:rsidP="004F2107">
      <w:pPr>
        <w:spacing w:before="120" w:after="120" w:line="360" w:lineRule="auto"/>
        <w:ind w:left="426"/>
        <w:jc w:val="both"/>
        <w:rPr>
          <w:rFonts w:ascii="Arial" w:hAnsi="Arial" w:cs="Arial"/>
        </w:rPr>
      </w:pPr>
      <w:r w:rsidRPr="00792193">
        <w:rPr>
          <w:rFonts w:ascii="Arial" w:hAnsi="Arial" w:cs="Arial"/>
        </w:rPr>
        <w:t>W ramach tej kategorii uwzględnia się także koszty wynagrodzeń kierownika projektu</w:t>
      </w:r>
      <w:r>
        <w:rPr>
          <w:rFonts w:ascii="Arial" w:hAnsi="Arial" w:cs="Arial"/>
        </w:rPr>
        <w:t>.</w:t>
      </w:r>
      <w:r w:rsidRPr="00792193">
        <w:rPr>
          <w:rFonts w:ascii="Arial" w:hAnsi="Arial" w:cs="Arial"/>
        </w:rPr>
        <w:t xml:space="preserve"> </w:t>
      </w:r>
      <w:r>
        <w:rPr>
          <w:rFonts w:ascii="Arial" w:hAnsi="Arial" w:cs="Arial"/>
        </w:rPr>
        <w:t xml:space="preserve"> </w:t>
      </w:r>
      <w:r w:rsidRPr="00792193">
        <w:rPr>
          <w:rFonts w:ascii="Arial" w:hAnsi="Arial" w:cs="Arial"/>
        </w:rPr>
        <w:t xml:space="preserve"> </w:t>
      </w:r>
    </w:p>
    <w:p w:rsidR="00792193" w:rsidRDefault="00792193" w:rsidP="004F2107">
      <w:pPr>
        <w:spacing w:before="120" w:after="120" w:line="360" w:lineRule="auto"/>
        <w:ind w:left="426"/>
        <w:jc w:val="both"/>
        <w:rPr>
          <w:rFonts w:ascii="Arial" w:hAnsi="Arial" w:cs="Arial"/>
        </w:rPr>
      </w:pPr>
      <w:r>
        <w:rPr>
          <w:rFonts w:ascii="Arial" w:hAnsi="Arial" w:cs="Arial"/>
        </w:rPr>
        <w:t xml:space="preserve">Powyższe koszty </w:t>
      </w:r>
      <w:r w:rsidR="00556ABD" w:rsidRPr="00556ABD">
        <w:rPr>
          <w:rFonts w:ascii="Arial" w:hAnsi="Arial" w:cs="Arial"/>
        </w:rPr>
        <w:t xml:space="preserve">są kwalifikowalne na zasadach określonych w podrozdziale 6.15 </w:t>
      </w:r>
      <w:r w:rsidR="00556ABD" w:rsidRPr="00556ABD">
        <w:rPr>
          <w:rFonts w:ascii="Arial" w:hAnsi="Arial" w:cs="Arial"/>
          <w:i/>
        </w:rPr>
        <w:t>Wytycznych</w:t>
      </w:r>
      <w:r w:rsidR="00556ABD">
        <w:rPr>
          <w:rFonts w:ascii="Arial" w:hAnsi="Arial" w:cs="Arial"/>
          <w:i/>
        </w:rPr>
        <w:t>.</w:t>
      </w:r>
      <w:r w:rsidR="00556ABD" w:rsidRPr="00556ABD">
        <w:rPr>
          <w:rFonts w:ascii="Arial" w:hAnsi="Arial" w:cs="Arial"/>
        </w:rPr>
        <w:t xml:space="preserve"> </w:t>
      </w:r>
      <w:r>
        <w:rPr>
          <w:rFonts w:ascii="Arial" w:hAnsi="Arial" w:cs="Arial"/>
        </w:rPr>
        <w:t xml:space="preserve">Wydatki na pokrycie kosztów </w:t>
      </w:r>
      <w:r w:rsidR="00556ABD">
        <w:rPr>
          <w:rFonts w:ascii="Arial" w:hAnsi="Arial" w:cs="Arial"/>
        </w:rPr>
        <w:t xml:space="preserve">związane z wyposażeniem stanowiska pracy personelu projektu zaliczane są do kategorii </w:t>
      </w:r>
      <w:r w:rsidR="00FB65D3" w:rsidRPr="004F2107">
        <w:rPr>
          <w:rFonts w:ascii="Arial" w:hAnsi="Arial" w:cs="Arial"/>
          <w:i/>
        </w:rPr>
        <w:t>środki trwałe i wartości niematerialne i prawne oraz rzeczowe aktywa niestanowiące środków trwałych</w:t>
      </w:r>
      <w:r w:rsidR="00556ABD">
        <w:rPr>
          <w:rFonts w:ascii="Arial" w:hAnsi="Arial" w:cs="Arial"/>
        </w:rPr>
        <w:t xml:space="preserve">. </w:t>
      </w:r>
    </w:p>
    <w:p w:rsidR="004201C1" w:rsidRDefault="00FB65D3" w:rsidP="004F2107">
      <w:pPr>
        <w:spacing w:before="120" w:after="120" w:line="360" w:lineRule="auto"/>
        <w:ind w:left="426"/>
        <w:jc w:val="both"/>
        <w:rPr>
          <w:rFonts w:ascii="Arial" w:hAnsi="Arial" w:cs="Arial"/>
        </w:rPr>
      </w:pPr>
      <w:r>
        <w:rPr>
          <w:rFonts w:ascii="Arial" w:hAnsi="Arial" w:cs="Arial"/>
        </w:rPr>
        <w:t xml:space="preserve">W projektach OSE kwalifikowalne </w:t>
      </w:r>
      <w:r w:rsidR="00E93F3B">
        <w:rPr>
          <w:rFonts w:ascii="Arial" w:hAnsi="Arial" w:cs="Arial"/>
        </w:rPr>
        <w:t xml:space="preserve">są </w:t>
      </w:r>
      <w:r>
        <w:rPr>
          <w:rFonts w:ascii="Arial" w:hAnsi="Arial" w:cs="Arial"/>
        </w:rPr>
        <w:t>koszty delegacji służbowych. Nie mogą one być w</w:t>
      </w:r>
      <w:r w:rsidR="00E93F3B">
        <w:rPr>
          <w:rFonts w:ascii="Arial" w:hAnsi="Arial" w:cs="Arial"/>
        </w:rPr>
        <w:t xml:space="preserve">łączane do podstawy </w:t>
      </w:r>
      <w:r>
        <w:rPr>
          <w:rFonts w:ascii="Arial" w:hAnsi="Arial" w:cs="Arial"/>
        </w:rPr>
        <w:t xml:space="preserve">wyliczenia stawki ryczałtowej, o której mowa w punkcie 5 lit. b niniejszej sekcji </w:t>
      </w:r>
      <w:r w:rsidRPr="004F2107">
        <w:rPr>
          <w:rFonts w:ascii="Arial" w:hAnsi="Arial" w:cs="Arial"/>
          <w:i/>
        </w:rPr>
        <w:t>Katalogu</w:t>
      </w:r>
      <w:r>
        <w:rPr>
          <w:rFonts w:ascii="Arial" w:hAnsi="Arial" w:cs="Arial"/>
        </w:rPr>
        <w:t xml:space="preserve">. </w:t>
      </w:r>
      <w:r w:rsidR="00556ABD">
        <w:rPr>
          <w:rFonts w:ascii="Arial" w:hAnsi="Arial" w:cs="Arial"/>
        </w:rPr>
        <w:t xml:space="preserve">   </w:t>
      </w:r>
    </w:p>
    <w:p w:rsidR="003C3DE7" w:rsidRDefault="003C3DE7" w:rsidP="004F2107">
      <w:pPr>
        <w:spacing w:before="120" w:after="120" w:line="360" w:lineRule="auto"/>
        <w:ind w:left="426"/>
        <w:jc w:val="both"/>
        <w:rPr>
          <w:rFonts w:ascii="Arial" w:hAnsi="Arial" w:cs="Arial"/>
        </w:rPr>
      </w:pPr>
      <w:r w:rsidRPr="003C3DE7">
        <w:rPr>
          <w:rFonts w:ascii="Arial" w:hAnsi="Arial" w:cs="Arial"/>
        </w:rPr>
        <w:t xml:space="preserve">Dla potrzeb wyliczenia wartości kosztów związanych z zaangażowaniem personelu uznaje się, że koszty te to koszty personelu zgodnie z definicją niniejszego </w:t>
      </w:r>
      <w:r w:rsidRPr="009F428C">
        <w:rPr>
          <w:rFonts w:ascii="Arial" w:hAnsi="Arial" w:cs="Arial"/>
          <w:i/>
        </w:rPr>
        <w:t>Katalogu</w:t>
      </w:r>
      <w:r w:rsidRPr="003C3DE7">
        <w:rPr>
          <w:rFonts w:ascii="Arial" w:hAnsi="Arial" w:cs="Arial"/>
        </w:rPr>
        <w:t xml:space="preserve"> oraz koszty personelu zewnętrznego zgodnie z definicją zawartą w Wytycznych Komisji Europejskiej </w:t>
      </w:r>
      <w:r w:rsidR="007E117F" w:rsidRPr="007E117F">
        <w:rPr>
          <w:rFonts w:ascii="Arial" w:hAnsi="Arial" w:cs="Arial"/>
        </w:rPr>
        <w:t xml:space="preserve">pn. Wytyczne dotyczące form kosztów uproszczonych finansowanie </w:t>
      </w:r>
      <w:r w:rsidR="001A373C">
        <w:rPr>
          <w:rFonts w:ascii="Arial" w:hAnsi="Arial" w:cs="Arial"/>
        </w:rPr>
        <w:br/>
      </w:r>
      <w:r w:rsidR="007E117F" w:rsidRPr="007E117F">
        <w:rPr>
          <w:rFonts w:ascii="Arial" w:hAnsi="Arial" w:cs="Arial"/>
        </w:rPr>
        <w:t>w oparciu o stawki ryczałtowe, standardowe stawki jednostkowe, kwoty ryczałtowe (na podstawie art. 67 i 68 rozporządzenia (UE) nr 1303/2013, art. 14 ust. 2-4 rozporządzenia (UE) nr 1304/2013 oraz art. 19 rozporządzenia (UE) nr 1299/2013)</w:t>
      </w:r>
      <w:r w:rsidRPr="003C3DE7">
        <w:rPr>
          <w:rFonts w:ascii="Arial" w:hAnsi="Arial" w:cs="Arial"/>
        </w:rPr>
        <w:t>.</w:t>
      </w:r>
    </w:p>
    <w:p w:rsidR="007E117F" w:rsidRDefault="007E117F" w:rsidP="004F2107">
      <w:pPr>
        <w:spacing w:before="120" w:after="120" w:line="360" w:lineRule="auto"/>
        <w:ind w:left="426"/>
        <w:jc w:val="both"/>
        <w:rPr>
          <w:rFonts w:ascii="Arial" w:hAnsi="Arial" w:cs="Arial"/>
        </w:rPr>
      </w:pPr>
      <w:r w:rsidRPr="007E117F">
        <w:rPr>
          <w:rFonts w:ascii="Arial" w:hAnsi="Arial" w:cs="Arial"/>
        </w:rPr>
        <w:t xml:space="preserve">W ramach projektów </w:t>
      </w:r>
      <w:r>
        <w:rPr>
          <w:rFonts w:ascii="Arial" w:hAnsi="Arial" w:cs="Arial"/>
        </w:rPr>
        <w:t xml:space="preserve">OSE </w:t>
      </w:r>
      <w:r w:rsidRPr="007E117F">
        <w:rPr>
          <w:rFonts w:ascii="Arial" w:hAnsi="Arial" w:cs="Arial"/>
        </w:rPr>
        <w:t xml:space="preserve">zgodnie z </w:t>
      </w:r>
      <w:r>
        <w:rPr>
          <w:rFonts w:ascii="Arial" w:hAnsi="Arial" w:cs="Arial"/>
        </w:rPr>
        <w:t xml:space="preserve">ww. dokumentem wydanym przez KE </w:t>
      </w:r>
      <w:r w:rsidRPr="007E117F">
        <w:rPr>
          <w:rFonts w:ascii="Arial" w:hAnsi="Arial" w:cs="Arial"/>
        </w:rPr>
        <w:t>kosztami personelu są:</w:t>
      </w:r>
    </w:p>
    <w:p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koszty wynikające z umowy zawartej między pracodawcą a pracownikiem lub</w:t>
      </w:r>
    </w:p>
    <w:p w:rsidR="007E117F" w:rsidRDefault="007E117F" w:rsidP="007E117F">
      <w:pPr>
        <w:spacing w:before="120" w:after="120" w:line="360" w:lineRule="auto"/>
        <w:ind w:left="426"/>
        <w:jc w:val="both"/>
        <w:rPr>
          <w:rFonts w:ascii="Arial" w:hAnsi="Arial" w:cs="Arial"/>
        </w:rPr>
      </w:pPr>
      <w:r w:rsidRPr="007E117F">
        <w:rPr>
          <w:rFonts w:ascii="Arial" w:hAnsi="Arial" w:cs="Arial"/>
        </w:rPr>
        <w:t xml:space="preserve">- umów o świadczenie usług w przypadku personelu zewnętrznego (pod warunkiem, że koszty te są łatwe do zidentyfikowania).  </w:t>
      </w:r>
    </w:p>
    <w:p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obejmują:</w:t>
      </w:r>
    </w:p>
    <w:p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wynagrodzenie ogółem, w tym świadczenia rzeczowe zgodnie z układami zbiorowymi wypłacane personelowi w zamian za prace związane z projektem,</w:t>
      </w:r>
    </w:p>
    <w:p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xml:space="preserve">- podatki, </w:t>
      </w:r>
    </w:p>
    <w:p w:rsidR="007E117F" w:rsidRDefault="007E117F" w:rsidP="007E117F">
      <w:pPr>
        <w:spacing w:before="120" w:after="120" w:line="360" w:lineRule="auto"/>
        <w:ind w:left="426"/>
        <w:jc w:val="both"/>
        <w:rPr>
          <w:rFonts w:ascii="Arial" w:hAnsi="Arial" w:cs="Arial"/>
        </w:rPr>
      </w:pPr>
      <w:r>
        <w:rPr>
          <w:rFonts w:ascii="Arial" w:hAnsi="Arial" w:cs="Arial"/>
        </w:rPr>
        <w:t xml:space="preserve">- </w:t>
      </w:r>
      <w:r w:rsidRPr="007E117F">
        <w:rPr>
          <w:rFonts w:ascii="Arial" w:hAnsi="Arial" w:cs="Arial"/>
        </w:rPr>
        <w:t>obowiązkowe i dobrowolne składki na ubezpieczenie społeczne pracowników (pierwszy i drugi filar, trzeci filar tylko wtedy, gdy jest to określone w układzie zbiorowym).</w:t>
      </w:r>
    </w:p>
    <w:p w:rsid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powinny być wyszczególnione na fakturze</w:t>
      </w:r>
      <w:r w:rsidR="006547C8">
        <w:rPr>
          <w:rFonts w:ascii="Arial" w:hAnsi="Arial" w:cs="Arial"/>
        </w:rPr>
        <w:t xml:space="preserve"> lub rachunku</w:t>
      </w:r>
      <w:r w:rsidRPr="007E117F">
        <w:rPr>
          <w:rFonts w:ascii="Arial" w:hAnsi="Arial" w:cs="Arial"/>
        </w:rPr>
        <w:t xml:space="preserve"> wystawion</w:t>
      </w:r>
      <w:r w:rsidR="006547C8">
        <w:rPr>
          <w:rFonts w:ascii="Arial" w:hAnsi="Arial" w:cs="Arial"/>
        </w:rPr>
        <w:t>ych</w:t>
      </w:r>
      <w:r w:rsidRPr="007E117F">
        <w:rPr>
          <w:rFonts w:ascii="Arial" w:hAnsi="Arial" w:cs="Arial"/>
        </w:rPr>
        <w:t xml:space="preserve"> w związku z zamawianą usługą realizowaną przez personel zewnętrzny.</w:t>
      </w:r>
      <w:r>
        <w:rPr>
          <w:rFonts w:ascii="Arial" w:hAnsi="Arial" w:cs="Arial"/>
        </w:rPr>
        <w:t xml:space="preserve"> </w:t>
      </w:r>
    </w:p>
    <w:p w:rsidR="001B7151" w:rsidRDefault="008D2916" w:rsidP="00137BC9">
      <w:pPr>
        <w:numPr>
          <w:ilvl w:val="0"/>
          <w:numId w:val="91"/>
        </w:numPr>
        <w:spacing w:before="120" w:after="120" w:line="360" w:lineRule="auto"/>
        <w:jc w:val="both"/>
        <w:rPr>
          <w:rFonts w:ascii="Arial" w:hAnsi="Arial" w:cs="Arial"/>
        </w:rPr>
      </w:pPr>
      <w:r w:rsidRPr="001B7151">
        <w:rPr>
          <w:rFonts w:ascii="Arial" w:hAnsi="Arial" w:cs="Arial"/>
        </w:rPr>
        <w:t>Usługi zewnętrzne</w:t>
      </w:r>
      <w:r w:rsidR="001B7151">
        <w:rPr>
          <w:rFonts w:ascii="Arial" w:hAnsi="Arial" w:cs="Arial"/>
        </w:rPr>
        <w:t>, w tym wydatki poniesione na:</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 xml:space="preserve">przygotowanie projektu: </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techniczna, finansowa, w tym w zakresie pomocy publicznej, o ile jej opracowanie jest niezbędne do przygotowania lub realizacji projektu, z wyjątkiem wypełnienia formularza wniosku o dofinansowanie</w:t>
      </w:r>
      <w:r w:rsidR="00A03923">
        <w:rPr>
          <w:rFonts w:ascii="Arial" w:hAnsi="Arial" w:cs="Arial"/>
        </w:rPr>
        <w:t>,</w:t>
      </w:r>
      <w:r w:rsidRPr="001B7151">
        <w:rPr>
          <w:rFonts w:ascii="Arial" w:hAnsi="Arial" w:cs="Arial"/>
        </w:rPr>
        <w:t xml:space="preserve"> </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studium wykonalności,</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przetargowa,</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uzyskanie niezbędnych decyzji administracyjnych na etapie przygotowania projektu czy wniosku o dofinansowanie,</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obsługa instrumentów zabezpieczających realizację umowy o dofinansowanie, określona w umowie o dofinansowanie,</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ocena oddziaływania na środowisko,</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mapy lub szkice sytuujące projekt,</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wsparcia:</w:t>
      </w:r>
    </w:p>
    <w:p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teleinformatycznego (np. usługi partnerów uruchamiających i konfigurujących oraz wspierających na miejscu usługę w szkole, instalacja urządzeń w węźle, wsparcie obsługi itp.).</w:t>
      </w:r>
    </w:p>
    <w:p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usługi konsultacyjne (np. techniczne, wsparcie wytworzenia projektu technicznego, prawne, inne).</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telekomunikacyjne i teleinformatyczne:</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dzierżawy łączy telekomunikacyjnych (w tym jednorazowe i abonamentowe) w trakcie realizacji projektu,</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telekomunikacyjne inne (np. tranzyt ruchu, dostęp do punktu wymiany ruchu, utrzymanie punktu styku itp.) w trakcie realizacji projektu,</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teleinformatyczne (np. filtrowanie pod względem bezpieczeństwa ruchu internetowego).</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instalacja i serwis urządzeń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wdrożenie i wsparcie dla oprogramowania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kolokacja i najem miejsca (w serwerowniach, powierzchni biurowej, magazynowej itp.)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dostawa prądu i innych mediów niezbędnych do funkcjonowania i obsługi serwerowni i węzłów (nieużywanych w ramach powierzchni biurowych) –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transport środków trwałych i wartości niematerialnych i prawnych oraz rzeczowych aktywów niestanowiących środków trwałych</w:t>
      </w:r>
      <w:r w:rsidR="00A03923">
        <w:rPr>
          <w:rFonts w:ascii="Arial" w:hAnsi="Arial" w:cs="Arial"/>
        </w:rPr>
        <w:t>,</w:t>
      </w:r>
      <w:r w:rsidRPr="001B7151">
        <w:rPr>
          <w:rFonts w:ascii="Arial" w:hAnsi="Arial" w:cs="Arial"/>
        </w:rPr>
        <w:t xml:space="preserve"> jak również pracowników wykonujących merytoryczne zadania w projekcie</w:t>
      </w:r>
      <w:r w:rsidR="00A03923">
        <w:rPr>
          <w:rFonts w:ascii="Arial" w:hAnsi="Arial" w:cs="Arial"/>
        </w:rPr>
        <w:t>.</w:t>
      </w:r>
      <w:r w:rsidRPr="001B7151">
        <w:rPr>
          <w:rFonts w:ascii="Arial" w:hAnsi="Arial" w:cs="Arial"/>
        </w:rPr>
        <w:t xml:space="preserve"> </w:t>
      </w:r>
    </w:p>
    <w:p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Informacja i promocja, w tym wydatki:</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na tablice informacyjne i pamiątkowe,</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związane ze stworzeniem i prowadzeniem strony internetowej projektu, profili na portalach społecznościowych, blogów i innych form wykorzystujących komunikację internetową,</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organizacją konferencji promujących projekt,</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realizacją działań informacyjno-promocyjnych, w tym m.in. kampanii, promocji w mediach elektronicznych i tradycyjnych,</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organizowaniem spotkań informacyjnych i wydarzeń promocyjnych (w tym wynajem sali, catering),</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 xml:space="preserve">poniesione na podstawowe materiały informacyjne i promocyjne. </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związane z działaniami informacyjno-promocyjnymi stanowią wydatki kwalifikowalne w ramach realizowanych projektów jeśli ponoszone są zgodnie z warunkami i procedurami określonymi w </w:t>
      </w:r>
      <w:r w:rsidRPr="008B019A">
        <w:rPr>
          <w:rFonts w:ascii="Arial" w:eastAsia="Times New Roman" w:hAnsi="Arial" w:cs="Arial"/>
          <w:i/>
          <w:lang w:eastAsia="pl-PL"/>
        </w:rPr>
        <w:t>Wytycznych</w:t>
      </w:r>
      <w:r w:rsidRPr="008B019A">
        <w:rPr>
          <w:rFonts w:ascii="Arial" w:eastAsia="Times New Roman" w:hAnsi="Arial" w:cs="Arial"/>
          <w:lang w:eastAsia="pl-PL"/>
        </w:rPr>
        <w:t xml:space="preserve">, niniejszym </w:t>
      </w:r>
      <w:r w:rsidRPr="008B019A">
        <w:rPr>
          <w:rFonts w:ascii="Arial" w:eastAsia="Times New Roman" w:hAnsi="Arial" w:cs="Arial"/>
          <w:i/>
          <w:lang w:eastAsia="pl-PL"/>
        </w:rPr>
        <w:t>Katalogu</w:t>
      </w:r>
      <w:r w:rsidRPr="008B019A">
        <w:rPr>
          <w:rFonts w:ascii="Arial" w:eastAsia="Times New Roman" w:hAnsi="Arial" w:cs="Arial"/>
          <w:lang w:eastAsia="pl-PL"/>
        </w:rPr>
        <w:t>, w umowie o dofinasowanie projektu oraz w Podręczniku wnioskodawcy i beneficjenta programów polityki spójności 2014-2020</w:t>
      </w:r>
      <w:r>
        <w:rPr>
          <w:rFonts w:ascii="Arial" w:eastAsia="Times New Roman" w:hAnsi="Arial" w:cs="Arial"/>
          <w:lang w:eastAsia="pl-PL"/>
        </w:rPr>
        <w:t xml:space="preserve"> w zakresie informacji i promocji</w:t>
      </w:r>
      <w:r w:rsidRPr="008B019A">
        <w:rPr>
          <w:rFonts w:ascii="Arial" w:eastAsia="Times New Roman" w:hAnsi="Arial" w:cs="Arial"/>
          <w:lang w:eastAsia="pl-PL"/>
        </w:rPr>
        <w:t>.</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na informację i promocję </w:t>
      </w:r>
      <w:r w:rsidR="008F6EE9">
        <w:rPr>
          <w:rFonts w:ascii="Arial" w:eastAsia="Times New Roman" w:hAnsi="Arial" w:cs="Arial"/>
          <w:lang w:eastAsia="pl-PL"/>
        </w:rPr>
        <w:t xml:space="preserve">są kwalifikowalne do wysokości </w:t>
      </w:r>
      <w:r w:rsidR="004201C1">
        <w:rPr>
          <w:rFonts w:ascii="Arial" w:eastAsia="Times New Roman" w:hAnsi="Arial" w:cs="Arial"/>
          <w:lang w:eastAsia="pl-PL"/>
        </w:rPr>
        <w:t>1</w:t>
      </w:r>
      <w:r w:rsidRPr="00E61480">
        <w:rPr>
          <w:rFonts w:ascii="Arial" w:eastAsia="Times New Roman" w:hAnsi="Arial" w:cs="Arial"/>
          <w:lang w:eastAsia="pl-PL"/>
        </w:rPr>
        <w:t>%</w:t>
      </w:r>
      <w:r w:rsidRPr="008B019A">
        <w:rPr>
          <w:rFonts w:ascii="Arial" w:eastAsia="Times New Roman" w:hAnsi="Arial" w:cs="Arial"/>
          <w:lang w:eastAsia="pl-PL"/>
        </w:rPr>
        <w:t xml:space="preserve"> </w:t>
      </w:r>
      <w:r w:rsidR="008F6EE9">
        <w:rPr>
          <w:rFonts w:ascii="Arial" w:eastAsia="Times New Roman" w:hAnsi="Arial" w:cs="Arial"/>
          <w:lang w:eastAsia="pl-PL"/>
        </w:rPr>
        <w:t xml:space="preserve">ogółem </w:t>
      </w:r>
      <w:r w:rsidRPr="008B019A">
        <w:rPr>
          <w:rFonts w:ascii="Arial" w:eastAsia="Times New Roman" w:hAnsi="Arial" w:cs="Arial"/>
          <w:lang w:eastAsia="pl-PL"/>
        </w:rPr>
        <w:t xml:space="preserve">wydatków kwalifikowalnych projektu.  </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Wydatki poniesione na pokrycie kosztów pośrednich</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Koszty pośrednie mogą być kwalifikowalne w ramach projektów OSE na warunkach określonych w podrozdziale 7.5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lastRenderedPageBreak/>
        <w:t>Koszty pośrednie są rozliczane stawką ryczałtową w wysokości do 15% bezpośrednich kwalifikowanych kosztów związanych z zaangażowaniem personelu projektu</w:t>
      </w:r>
      <w:r w:rsidR="004F2107">
        <w:rPr>
          <w:rFonts w:ascii="Arial" w:hAnsi="Arial" w:cs="Arial"/>
        </w:rPr>
        <w:t xml:space="preserve">, tj. kategorii, o której mowa w pkt 2 niniejszej sekcji, </w:t>
      </w:r>
      <w:r w:rsidRPr="008D2916">
        <w:rPr>
          <w:rFonts w:ascii="Arial" w:hAnsi="Arial" w:cs="Arial"/>
        </w:rPr>
        <w:t xml:space="preserve">na zasadach określonych w rozdziale 6.6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W przypadku projektów, w których co najmniej 50% wydatków bezpośrednich (zgodnie z szacunkiem beneficjenta wynikającym ze złożonego do oceny wniosku o dofinasowanie) ponoszone jest w drodze zastosowania </w:t>
      </w:r>
      <w:proofErr w:type="spellStart"/>
      <w:r w:rsidRPr="008D2916">
        <w:rPr>
          <w:rFonts w:ascii="Arial" w:hAnsi="Arial" w:cs="Arial"/>
        </w:rPr>
        <w:t>Pzp</w:t>
      </w:r>
      <w:proofErr w:type="spellEnd"/>
      <w:r w:rsidRPr="008D2916">
        <w:rPr>
          <w:rFonts w:ascii="Arial" w:hAnsi="Arial" w:cs="Arial"/>
        </w:rPr>
        <w:t xml:space="preserve">, koszty pośrednie mogą być rozliczane  na podstawie rzeczywiście poniesionych wydatków (tj. z pełnym udokumentowaniem wydatków), z zachowaniem wymogów określonych w podrozdziale 6.5 </w:t>
      </w:r>
      <w:r w:rsidRPr="008D2916">
        <w:rPr>
          <w:rFonts w:ascii="Arial" w:hAnsi="Arial" w:cs="Arial"/>
          <w:i/>
        </w:rPr>
        <w:t>Wytycznych</w:t>
      </w:r>
      <w:r w:rsidRPr="008D2916">
        <w:rPr>
          <w:rFonts w:ascii="Arial" w:hAnsi="Arial" w:cs="Arial"/>
        </w:rPr>
        <w:t xml:space="preserve"> oraz podrozdziału 3.3 niniejszego </w:t>
      </w:r>
      <w:r w:rsidRPr="008D2916">
        <w:rPr>
          <w:rFonts w:ascii="Arial" w:hAnsi="Arial" w:cs="Arial"/>
          <w:i/>
        </w:rPr>
        <w:t>Katalogu</w:t>
      </w:r>
      <w:r w:rsidRPr="008D2916">
        <w:rPr>
          <w:rFonts w:ascii="Arial" w:hAnsi="Arial" w:cs="Arial"/>
        </w:rPr>
        <w:t xml:space="preserve">. W takiej sytuacji wydatki te nie mogą przekroczyć 10% całkowitych wydatków kwalifikowalnych projektu.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Wydatkami kwalifikowalnymi w zakresie tej kategorii mogą być:</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wydatki na pokrycie kosztów personelu zaangażowanego w rozliczanie, monitorowanie projektu lub prowadzenie innych działań administracyjnych w projekcie, w tym w szczególności koszty wynagrodzenia tych osób i ich delegacji służbowych,  </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zarządu (wynagrodzenia osób uprawnionych do reprezentowania jednostki, których zakresy czynności nie są przypisane wyłącznie do projektu, np. kierownika jednostki),</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personelu obsługowego (obsługa kadrowa, finansowa, administracyjna, sekretariat, kancelaria, obsługa prawna, w tym  dotycząca zamówień) na potrzeby funkcjonowania jednostki,</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obsługi księgowej (wynagrodzenia osób księgujących wydatki w projekcie, koszty związane ze zleceniem prowadzenia obsługi księgowej projektu biuru rachunkowemu),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utrzymania powierzchni biurowych (czynsz, najem, opłaty administracyjne) związanych z obsługą administracyjną projektu,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związane z otworzeniem lub prowadzeniem wyodrębnionego na rzecz projektu subkonta na rachunku bankowym lub odrębnego rachunku bankowego,</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amortyzacja, najem lub zakup aktywów (środków trwałych i wartości niematerialnych i prawnych) używanych na potrzeby osób, o których mowa w </w:t>
      </w:r>
      <w:proofErr w:type="spellStart"/>
      <w:r w:rsidR="00842875">
        <w:rPr>
          <w:rFonts w:ascii="Arial" w:hAnsi="Arial" w:cs="Arial"/>
        </w:rPr>
        <w:t>tiret</w:t>
      </w:r>
      <w:proofErr w:type="spellEnd"/>
      <w:r w:rsidRPr="008D2916">
        <w:rPr>
          <w:rFonts w:ascii="Arial" w:hAnsi="Arial" w:cs="Arial"/>
        </w:rPr>
        <w:t xml:space="preserve"> </w:t>
      </w:r>
      <w:r w:rsidR="00842875">
        <w:rPr>
          <w:rFonts w:ascii="Arial" w:hAnsi="Arial" w:cs="Arial"/>
        </w:rPr>
        <w:t>i.</w:t>
      </w:r>
      <w:r w:rsidRPr="008D2916">
        <w:rPr>
          <w:rFonts w:ascii="Arial" w:hAnsi="Arial" w:cs="Arial"/>
        </w:rPr>
        <w:t xml:space="preserve"> – </w:t>
      </w:r>
      <w:r w:rsidR="00842875">
        <w:rPr>
          <w:rFonts w:ascii="Arial" w:hAnsi="Arial" w:cs="Arial"/>
        </w:rPr>
        <w:t>iv.</w:t>
      </w:r>
      <w:r w:rsidRPr="008D2916">
        <w:rPr>
          <w:rFonts w:ascii="Arial" w:hAnsi="Arial" w:cs="Arial"/>
        </w:rPr>
        <w:t xml:space="preserve"> z zastrzeżeniem punktu 11 podrozdziału 6.15 </w:t>
      </w:r>
      <w:r w:rsidRPr="00EC679F">
        <w:rPr>
          <w:rFonts w:ascii="Arial" w:hAnsi="Arial" w:cs="Arial"/>
          <w:i/>
        </w:rPr>
        <w:t>Wytycznych</w:t>
      </w:r>
      <w:r w:rsidRPr="008D2916">
        <w:rPr>
          <w:rFonts w:ascii="Arial" w:hAnsi="Arial" w:cs="Arial"/>
        </w:rPr>
        <w:t>,</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lastRenderedPageBreak/>
        <w:t xml:space="preserve">opłaty za energię elektryczną, cieplną, gazową i wodę, opłaty przesyłowe, opłaty </w:t>
      </w:r>
      <w:r w:rsidRPr="008D2916">
        <w:rPr>
          <w:rFonts w:ascii="Arial" w:hAnsi="Arial" w:cs="Arial"/>
        </w:rPr>
        <w:br/>
        <w:t>za odprowadzanie ścieków w zakresie związanym z obsługą administracyjną projektu,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usług pocztowych, telefonicznych, internetowych, kurierskich związanych z obsługą projektu,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usług powielania dokumentów związanych z obsługą projektu,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materiałów biurowych i artykułów piśmienniczych związanych z obsługą projektu,</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ochrony,</w:t>
      </w:r>
    </w:p>
    <w:p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sprzątania pomieszczeń związanych z obsługą projektu, w tym środków czystości, dezynsekcji, dezynfekcji, deratyzacji tych pomieszczeń.</w:t>
      </w:r>
    </w:p>
    <w:p w:rsidR="008D2916" w:rsidRPr="008D2916" w:rsidRDefault="008D2916" w:rsidP="008F6EE9">
      <w:pPr>
        <w:pStyle w:val="Nagwek2"/>
        <w:numPr>
          <w:ilvl w:val="2"/>
          <w:numId w:val="108"/>
        </w:numPr>
        <w:spacing w:before="240" w:after="60" w:line="360" w:lineRule="auto"/>
        <w:jc w:val="center"/>
        <w:rPr>
          <w:rFonts w:ascii="Arial" w:hAnsi="Arial" w:cs="Arial"/>
          <w:b w:val="0"/>
          <w:i/>
          <w:color w:val="auto"/>
          <w:sz w:val="24"/>
          <w:szCs w:val="24"/>
        </w:rPr>
      </w:pPr>
      <w:bookmarkStart w:id="146" w:name="_Toc512234687"/>
      <w:r w:rsidRPr="008D2916">
        <w:rPr>
          <w:rFonts w:ascii="Arial" w:hAnsi="Arial" w:cs="Arial"/>
          <w:b w:val="0"/>
          <w:i/>
          <w:color w:val="auto"/>
          <w:sz w:val="24"/>
          <w:szCs w:val="24"/>
        </w:rPr>
        <w:t>Wydatki niekwalifikowalne</w:t>
      </w:r>
      <w:bookmarkEnd w:id="146"/>
      <w:r w:rsidRPr="008D2916">
        <w:rPr>
          <w:rFonts w:ascii="Arial" w:hAnsi="Arial" w:cs="Arial"/>
          <w:b w:val="0"/>
          <w:i/>
          <w:color w:val="auto"/>
          <w:sz w:val="24"/>
          <w:szCs w:val="24"/>
        </w:rPr>
        <w:t xml:space="preserve"> </w:t>
      </w:r>
    </w:p>
    <w:p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 xml:space="preserve">Do współfinansowania nie kwalifikują się wszelkie wydatki niezgodne z </w:t>
      </w:r>
      <w:r w:rsidRPr="00EC679F">
        <w:rPr>
          <w:rFonts w:ascii="Arial" w:hAnsi="Arial" w:cs="Arial"/>
          <w:i/>
        </w:rPr>
        <w:t>Wytycznymi</w:t>
      </w:r>
      <w:r w:rsidRPr="008D2916">
        <w:rPr>
          <w:rFonts w:ascii="Arial" w:hAnsi="Arial" w:cs="Arial"/>
        </w:rPr>
        <w:t xml:space="preserve">, niniejszym </w:t>
      </w:r>
      <w:r w:rsidRPr="00EC679F">
        <w:rPr>
          <w:rFonts w:ascii="Arial" w:hAnsi="Arial" w:cs="Arial"/>
          <w:i/>
        </w:rPr>
        <w:t>Katalogiem</w:t>
      </w:r>
      <w:r w:rsidRPr="008D2916">
        <w:rPr>
          <w:rFonts w:ascii="Arial" w:hAnsi="Arial" w:cs="Arial"/>
        </w:rPr>
        <w:t xml:space="preserve"> oraz wydatki wyłączone z kwalifikowalności poprzez odpowiednie zapisy niniejszego </w:t>
      </w:r>
      <w:r w:rsidRPr="008A6F52">
        <w:rPr>
          <w:rFonts w:ascii="Arial" w:hAnsi="Arial" w:cs="Arial"/>
          <w:i/>
        </w:rPr>
        <w:t>Katalogu</w:t>
      </w:r>
      <w:r w:rsidRPr="008D2916">
        <w:rPr>
          <w:rFonts w:ascii="Arial" w:hAnsi="Arial" w:cs="Arial"/>
        </w:rPr>
        <w:t xml:space="preserve">, Regulaminu konkursu lub umowy o dofinansowanie projektu. </w:t>
      </w:r>
    </w:p>
    <w:p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Do dofinansowania w ramach projektów OSE nie kwalifikują się wydatki poniesione na szkolenia.</w:t>
      </w:r>
    </w:p>
    <w:p w:rsidR="001B7151" w:rsidRPr="001B7151" w:rsidRDefault="001B7151" w:rsidP="008D2916">
      <w:pPr>
        <w:spacing w:before="120" w:after="120" w:line="360" w:lineRule="auto"/>
        <w:jc w:val="both"/>
        <w:rPr>
          <w:rFonts w:ascii="Arial" w:hAnsi="Arial" w:cs="Arial"/>
        </w:rPr>
      </w:pPr>
    </w:p>
    <w:p w:rsidR="008A559B" w:rsidRDefault="008A559B">
      <w:pPr>
        <w:rPr>
          <w:rFonts w:ascii="Arial" w:hAnsi="Arial" w:cs="Arial"/>
          <w:sz w:val="24"/>
          <w:szCs w:val="24"/>
        </w:rPr>
      </w:pPr>
      <w:r>
        <w:rPr>
          <w:rFonts w:ascii="Arial" w:hAnsi="Arial" w:cs="Arial"/>
          <w:sz w:val="24"/>
          <w:szCs w:val="24"/>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7" w:name="_Toc512234688"/>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47"/>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3F366E" w:rsidRPr="00B81671" w:rsidRDefault="003F366E"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316996">
          <w:footerReference w:type="default" r:id="rId11"/>
          <w:pgSz w:w="11906" w:h="16838" w:code="9"/>
          <w:pgMar w:top="1418" w:right="1418" w:bottom="1418" w:left="1418" w:header="709" w:footer="709"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8" w:name="_Toc512234689"/>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48"/>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6.5.3 </w:t>
            </w:r>
            <w:r w:rsidRPr="006C0743">
              <w:rPr>
                <w:rFonts w:ascii="Arial" w:hAnsi="Arial" w:cs="Arial"/>
                <w:b/>
                <w:i/>
              </w:rPr>
              <w:t>Wytycznych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4B179F">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3A" w:rsidRDefault="000D4D3A" w:rsidP="00045401">
      <w:pPr>
        <w:spacing w:after="0" w:line="240" w:lineRule="auto"/>
      </w:pPr>
      <w:r>
        <w:separator/>
      </w:r>
    </w:p>
  </w:endnote>
  <w:endnote w:type="continuationSeparator" w:id="0">
    <w:p w:rsidR="000D4D3A" w:rsidRDefault="000D4D3A"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1A373C" w:rsidRDefault="001A373C">
        <w:pPr>
          <w:pStyle w:val="Stopka"/>
          <w:jc w:val="right"/>
        </w:pPr>
        <w:r>
          <w:fldChar w:fldCharType="begin"/>
        </w:r>
        <w:r>
          <w:instrText>PAGE   \* MERGEFORMAT</w:instrText>
        </w:r>
        <w:r>
          <w:fldChar w:fldCharType="separate"/>
        </w:r>
        <w:r w:rsidR="009F428C">
          <w:rPr>
            <w:noProof/>
          </w:rPr>
          <w:t>2</w:t>
        </w:r>
        <w:r>
          <w:fldChar w:fldCharType="end"/>
        </w:r>
      </w:p>
    </w:sdtContent>
  </w:sdt>
  <w:p w:rsidR="001A373C" w:rsidRDefault="001A37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3A" w:rsidRDefault="000D4D3A" w:rsidP="00045401">
      <w:pPr>
        <w:spacing w:after="0" w:line="240" w:lineRule="auto"/>
      </w:pPr>
      <w:r>
        <w:separator/>
      </w:r>
    </w:p>
  </w:footnote>
  <w:footnote w:type="continuationSeparator" w:id="0">
    <w:p w:rsidR="000D4D3A" w:rsidRDefault="000D4D3A" w:rsidP="00045401">
      <w:pPr>
        <w:spacing w:after="0" w:line="240" w:lineRule="auto"/>
      </w:pPr>
      <w:r>
        <w:continuationSeparator/>
      </w:r>
    </w:p>
  </w:footnote>
  <w:footnote w:id="1">
    <w:p w:rsidR="001A373C" w:rsidRPr="000E3E65" w:rsidRDefault="001A373C"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1A373C" w:rsidRPr="00C55C98" w:rsidRDefault="001A373C"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1A373C" w:rsidRPr="00C55C98" w:rsidRDefault="001A373C"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1A373C" w:rsidRPr="00C55C98" w:rsidRDefault="001A373C"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F93F49">
        <w:rPr>
          <w:rFonts w:ascii="Arial" w:hAnsi="Arial" w:cs="Arial"/>
          <w:sz w:val="16"/>
          <w:szCs w:val="16"/>
          <w:lang w:val="pl-PL"/>
        </w:rPr>
        <w:t>w ust. 4  tego przepisu</w:t>
      </w:r>
      <w:r>
        <w:rPr>
          <w:rFonts w:ascii="Arial" w:hAnsi="Arial" w:cs="Arial"/>
          <w:color w:val="FF0000"/>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1A373C" w:rsidRPr="00250FF7" w:rsidRDefault="001A373C"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1A373C" w:rsidRPr="00F861DC" w:rsidRDefault="001A373C">
      <w:pPr>
        <w:pStyle w:val="Tekstprzypisudolnego"/>
        <w:rPr>
          <w:rFonts w:ascii="Arial" w:hAnsi="Arial" w:cs="Arial"/>
          <w:sz w:val="16"/>
          <w:szCs w:val="16"/>
          <w:lang w:val="pl-PL"/>
        </w:rPr>
      </w:pPr>
      <w:r w:rsidRPr="00F861DC">
        <w:rPr>
          <w:rStyle w:val="Odwoanieprzypisudolnego"/>
          <w:rFonts w:ascii="Arial" w:hAnsi="Arial" w:cs="Arial"/>
          <w:sz w:val="16"/>
          <w:szCs w:val="16"/>
        </w:rPr>
        <w:footnoteRef/>
      </w:r>
      <w:r w:rsidRPr="00F861DC">
        <w:rPr>
          <w:rFonts w:ascii="Arial" w:hAnsi="Arial" w:cs="Arial"/>
          <w:sz w:val="16"/>
          <w:szCs w:val="16"/>
        </w:rPr>
        <w:t xml:space="preserve"> </w:t>
      </w:r>
      <w:r w:rsidRPr="00F861DC">
        <w:rPr>
          <w:rFonts w:ascii="Arial" w:hAnsi="Arial" w:cs="Arial"/>
          <w:sz w:val="16"/>
          <w:szCs w:val="16"/>
          <w:lang w:val="pl-PL"/>
        </w:rPr>
        <w:t>Nie dotyczy osób będących personelem projektów w rozumieniu pkt 19</w:t>
      </w:r>
    </w:p>
  </w:footnote>
  <w:footnote w:id="7">
    <w:p w:rsidR="001A373C" w:rsidRPr="00CA1CDE" w:rsidRDefault="001A373C"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1A373C" w:rsidRPr="008246CF" w:rsidRDefault="001A373C"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1A373C" w:rsidRPr="003217B9" w:rsidRDefault="001A373C"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0">
    <w:p w:rsidR="001A373C" w:rsidRPr="00AA2E60" w:rsidRDefault="001A373C"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1">
    <w:p w:rsidR="001A373C" w:rsidRPr="00F80636" w:rsidRDefault="001A373C"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2">
    <w:p w:rsidR="001A373C" w:rsidRPr="006803C1" w:rsidRDefault="001A373C"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3">
    <w:p w:rsidR="001A373C" w:rsidRPr="00AA2E60" w:rsidRDefault="001A373C"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4">
    <w:p w:rsidR="001A373C" w:rsidRPr="00BD06F4" w:rsidRDefault="001A373C"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1A373C" w:rsidRPr="00BD06F4" w:rsidRDefault="001A373C"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1A373C" w:rsidRPr="00BD06F4" w:rsidRDefault="001A373C"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1A373C" w:rsidRPr="00627D8F" w:rsidRDefault="001A373C"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1A373C" w:rsidRPr="00790328" w:rsidRDefault="001A373C" w:rsidP="006101E2">
      <w:pPr>
        <w:pStyle w:val="Tekstprzypisudolnego"/>
        <w:rPr>
          <w:lang w:val="pl-PL"/>
        </w:rPr>
      </w:pPr>
    </w:p>
  </w:footnote>
  <w:footnote w:id="15">
    <w:p w:rsidR="001A373C" w:rsidRPr="004A6DED" w:rsidRDefault="001A373C"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rsidR="001A373C" w:rsidRPr="0011522A" w:rsidRDefault="001A373C"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1A373C" w:rsidRPr="00966A4E" w:rsidRDefault="001A373C" w:rsidP="006101E2">
      <w:pPr>
        <w:pStyle w:val="Tekstprzypisudolnego"/>
      </w:pPr>
    </w:p>
  </w:footnote>
  <w:footnote w:id="17">
    <w:p w:rsidR="001A373C" w:rsidRPr="00D34651" w:rsidRDefault="001A373C"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rsidR="001A373C" w:rsidRPr="00BD06F4" w:rsidRDefault="001A373C"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1A373C" w:rsidRPr="00BD06F4" w:rsidRDefault="001A373C"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1A373C" w:rsidRPr="00BD06F4" w:rsidRDefault="001A373C"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1A373C" w:rsidRPr="00627D8F" w:rsidRDefault="001A373C"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1A373C" w:rsidRPr="00790328" w:rsidRDefault="001A373C" w:rsidP="0036568A">
      <w:pPr>
        <w:pStyle w:val="Tekstprzypisudolnego"/>
        <w:rPr>
          <w:lang w:val="pl-PL"/>
        </w:rPr>
      </w:pPr>
    </w:p>
  </w:footnote>
  <w:footnote w:id="19">
    <w:p w:rsidR="001A373C" w:rsidRPr="004A6DED" w:rsidRDefault="001A373C"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rsidR="001A373C" w:rsidRPr="0011522A" w:rsidRDefault="001A373C"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1A373C" w:rsidRPr="00966A4E" w:rsidRDefault="001A373C" w:rsidP="00C632DB">
      <w:pPr>
        <w:pStyle w:val="Tekstprzypisudolnego"/>
      </w:pPr>
    </w:p>
  </w:footnote>
  <w:footnote w:id="21">
    <w:p w:rsidR="001A373C" w:rsidRPr="00D34651" w:rsidRDefault="001A373C"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rsidR="001A373C" w:rsidRPr="00BD06F4" w:rsidRDefault="001A373C"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1A373C" w:rsidRPr="00BD06F4" w:rsidRDefault="001A373C"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1A373C" w:rsidRPr="00BD06F4" w:rsidRDefault="001A373C"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1A373C" w:rsidRPr="00627D8F" w:rsidRDefault="001A373C"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1A373C" w:rsidRPr="00790328" w:rsidRDefault="001A373C" w:rsidP="00DD0F75">
      <w:pPr>
        <w:pStyle w:val="Tekstprzypisudolnego"/>
        <w:rPr>
          <w:lang w:val="pl-PL"/>
        </w:rPr>
      </w:pPr>
    </w:p>
  </w:footnote>
  <w:footnote w:id="23">
    <w:p w:rsidR="001A373C" w:rsidRPr="004A6DED" w:rsidRDefault="001A373C"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rsidR="001A373C" w:rsidRPr="0011522A" w:rsidRDefault="001A373C"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1A373C" w:rsidRPr="0011522A" w:rsidRDefault="001A373C"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1A373C" w:rsidRPr="00966A4E" w:rsidRDefault="001A373C" w:rsidP="00DD0F75">
      <w:pPr>
        <w:pStyle w:val="Tekstprzypisudolnego"/>
      </w:pPr>
    </w:p>
  </w:footnote>
  <w:footnote w:id="25">
    <w:p w:rsidR="001A373C" w:rsidRPr="00D34651" w:rsidRDefault="001A373C"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9"/>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11533"/>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E640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321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35201A"/>
    <w:multiLevelType w:val="hybridMultilevel"/>
    <w:tmpl w:val="83084E7E"/>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5">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2D63590"/>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7D12CB"/>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1">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6">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41">
    <w:nsid w:val="3C40280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BE7FD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DE47181"/>
    <w:multiLevelType w:val="multilevel"/>
    <w:tmpl w:val="3AA0884E"/>
    <w:lvl w:ilvl="0">
      <w:start w:val="4"/>
      <w:numFmt w:val="decimal"/>
      <w:lvlText w:val="%1."/>
      <w:lvlJc w:val="left"/>
      <w:pPr>
        <w:ind w:left="720" w:hanging="360"/>
      </w:pPr>
      <w:rPr>
        <w:rFonts w:hint="default"/>
      </w:rPr>
    </w:lvl>
    <w:lvl w:ilvl="1">
      <w:start w:val="5"/>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0662173"/>
    <w:multiLevelType w:val="hybridMultilevel"/>
    <w:tmpl w:val="CE0C455E"/>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0C84D0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64">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0D522D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4">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6767398C"/>
    <w:multiLevelType w:val="hybridMultilevel"/>
    <w:tmpl w:val="E8F6DF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683169F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E83133"/>
    <w:multiLevelType w:val="multilevel"/>
    <w:tmpl w:val="D2BC3306"/>
    <w:lvl w:ilvl="0">
      <w:start w:val="4"/>
      <w:numFmt w:val="decimal"/>
      <w:lvlText w:val="%1."/>
      <w:lvlJc w:val="left"/>
      <w:pPr>
        <w:ind w:left="720" w:hanging="360"/>
      </w:pPr>
      <w:rPr>
        <w:rFonts w:hint="default"/>
      </w:rPr>
    </w:lvl>
    <w:lvl w:ilvl="1">
      <w:start w:val="4"/>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B987E75"/>
    <w:multiLevelType w:val="hybridMultilevel"/>
    <w:tmpl w:val="235CFE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6CB11F5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2">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93">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79F91A2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ABD06A6"/>
    <w:multiLevelType w:val="hybridMultilevel"/>
    <w:tmpl w:val="666E0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3">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4">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D6E38AC"/>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7FB6344F"/>
    <w:multiLevelType w:val="hybridMultilevel"/>
    <w:tmpl w:val="136EA16A"/>
    <w:lvl w:ilvl="0" w:tplc="9C98E52A">
      <w:start w:val="2"/>
      <w:numFmt w:val="low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50"/>
  </w:num>
  <w:num w:numId="3">
    <w:abstractNumId w:val="93"/>
  </w:num>
  <w:num w:numId="4">
    <w:abstractNumId w:val="92"/>
  </w:num>
  <w:num w:numId="5">
    <w:abstractNumId w:val="76"/>
  </w:num>
  <w:num w:numId="6">
    <w:abstractNumId w:val="97"/>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1"/>
  </w:num>
  <w:num w:numId="11">
    <w:abstractNumId w:val="69"/>
  </w:num>
  <w:num w:numId="12">
    <w:abstractNumId w:val="89"/>
  </w:num>
  <w:num w:numId="13">
    <w:abstractNumId w:val="68"/>
  </w:num>
  <w:num w:numId="14">
    <w:abstractNumId w:val="64"/>
  </w:num>
  <w:num w:numId="15">
    <w:abstractNumId w:val="106"/>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87"/>
  </w:num>
  <w:num w:numId="19">
    <w:abstractNumId w:val="66"/>
  </w:num>
  <w:num w:numId="20">
    <w:abstractNumId w:val="39"/>
  </w:num>
  <w:num w:numId="21">
    <w:abstractNumId w:val="75"/>
  </w:num>
  <w:num w:numId="22">
    <w:abstractNumId w:val="19"/>
  </w:num>
  <w:num w:numId="23">
    <w:abstractNumId w:val="46"/>
  </w:num>
  <w:num w:numId="24">
    <w:abstractNumId w:val="82"/>
  </w:num>
  <w:num w:numId="25">
    <w:abstractNumId w:val="63"/>
  </w:num>
  <w:num w:numId="26">
    <w:abstractNumId w:val="24"/>
  </w:num>
  <w:num w:numId="27">
    <w:abstractNumId w:val="98"/>
  </w:num>
  <w:num w:numId="28">
    <w:abstractNumId w:val="4"/>
  </w:num>
  <w:num w:numId="29">
    <w:abstractNumId w:val="26"/>
  </w:num>
  <w:num w:numId="30">
    <w:abstractNumId w:val="61"/>
  </w:num>
  <w:num w:numId="31">
    <w:abstractNumId w:val="56"/>
  </w:num>
  <w:num w:numId="32">
    <w:abstractNumId w:val="95"/>
  </w:num>
  <w:num w:numId="33">
    <w:abstractNumId w:val="16"/>
  </w:num>
  <w:num w:numId="34">
    <w:abstractNumId w:val="20"/>
  </w:num>
  <w:num w:numId="35">
    <w:abstractNumId w:val="62"/>
  </w:num>
  <w:num w:numId="36">
    <w:abstractNumId w:val="80"/>
  </w:num>
  <w:num w:numId="37">
    <w:abstractNumId w:val="36"/>
  </w:num>
  <w:num w:numId="38">
    <w:abstractNumId w:val="7"/>
  </w:num>
  <w:num w:numId="39">
    <w:abstractNumId w:val="34"/>
  </w:num>
  <w:num w:numId="40">
    <w:abstractNumId w:val="67"/>
  </w:num>
  <w:num w:numId="41">
    <w:abstractNumId w:val="42"/>
  </w:num>
  <w:num w:numId="42">
    <w:abstractNumId w:val="13"/>
  </w:num>
  <w:num w:numId="43">
    <w:abstractNumId w:val="28"/>
  </w:num>
  <w:num w:numId="44">
    <w:abstractNumId w:val="9"/>
  </w:num>
  <w:num w:numId="45">
    <w:abstractNumId w:val="73"/>
  </w:num>
  <w:num w:numId="46">
    <w:abstractNumId w:val="37"/>
  </w:num>
  <w:num w:numId="47">
    <w:abstractNumId w:val="45"/>
  </w:num>
  <w:num w:numId="48">
    <w:abstractNumId w:val="35"/>
  </w:num>
  <w:num w:numId="49">
    <w:abstractNumId w:val="43"/>
  </w:num>
  <w:num w:numId="50">
    <w:abstractNumId w:val="84"/>
  </w:num>
  <w:num w:numId="51">
    <w:abstractNumId w:val="103"/>
  </w:num>
  <w:num w:numId="52">
    <w:abstractNumId w:val="83"/>
  </w:num>
  <w:num w:numId="53">
    <w:abstractNumId w:val="25"/>
  </w:num>
  <w:num w:numId="54">
    <w:abstractNumId w:val="33"/>
  </w:num>
  <w:num w:numId="55">
    <w:abstractNumId w:val="70"/>
  </w:num>
  <w:num w:numId="56">
    <w:abstractNumId w:val="102"/>
  </w:num>
  <w:num w:numId="57">
    <w:abstractNumId w:val="54"/>
  </w:num>
  <w:num w:numId="58">
    <w:abstractNumId w:val="6"/>
  </w:num>
  <w:num w:numId="59">
    <w:abstractNumId w:val="32"/>
  </w:num>
  <w:num w:numId="60">
    <w:abstractNumId w:val="21"/>
  </w:num>
  <w:num w:numId="61">
    <w:abstractNumId w:val="104"/>
  </w:num>
  <w:num w:numId="62">
    <w:abstractNumId w:val="101"/>
  </w:num>
  <w:num w:numId="63">
    <w:abstractNumId w:val="23"/>
  </w:num>
  <w:num w:numId="64">
    <w:abstractNumId w:val="86"/>
  </w:num>
  <w:num w:numId="65">
    <w:abstractNumId w:val="49"/>
  </w:num>
  <w:num w:numId="66">
    <w:abstractNumId w:val="8"/>
  </w:num>
  <w:num w:numId="67">
    <w:abstractNumId w:val="2"/>
  </w:num>
  <w:num w:numId="68">
    <w:abstractNumId w:val="57"/>
  </w:num>
  <w:num w:numId="69">
    <w:abstractNumId w:val="11"/>
  </w:num>
  <w:num w:numId="70">
    <w:abstractNumId w:val="17"/>
  </w:num>
  <w:num w:numId="71">
    <w:abstractNumId w:val="38"/>
  </w:num>
  <w:num w:numId="72">
    <w:abstractNumId w:val="10"/>
  </w:num>
  <w:num w:numId="73">
    <w:abstractNumId w:val="5"/>
  </w:num>
  <w:num w:numId="74">
    <w:abstractNumId w:val="94"/>
  </w:num>
  <w:num w:numId="75">
    <w:abstractNumId w:val="30"/>
  </w:num>
  <w:num w:numId="76">
    <w:abstractNumId w:val="31"/>
  </w:num>
  <w:num w:numId="77">
    <w:abstractNumId w:val="22"/>
  </w:num>
  <w:num w:numId="78">
    <w:abstractNumId w:val="96"/>
  </w:num>
  <w:num w:numId="79">
    <w:abstractNumId w:val="18"/>
  </w:num>
  <w:num w:numId="80">
    <w:abstractNumId w:val="71"/>
  </w:num>
  <w:num w:numId="81">
    <w:abstractNumId w:val="47"/>
  </w:num>
  <w:num w:numId="82">
    <w:abstractNumId w:val="60"/>
  </w:num>
  <w:num w:numId="83">
    <w:abstractNumId w:val="53"/>
  </w:num>
  <w:num w:numId="84">
    <w:abstractNumId w:val="48"/>
  </w:num>
  <w:num w:numId="85">
    <w:abstractNumId w:val="65"/>
  </w:num>
  <w:num w:numId="86">
    <w:abstractNumId w:val="55"/>
  </w:num>
  <w:num w:numId="87">
    <w:abstractNumId w:val="77"/>
  </w:num>
  <w:num w:numId="88">
    <w:abstractNumId w:val="100"/>
  </w:num>
  <w:num w:numId="89">
    <w:abstractNumId w:val="58"/>
  </w:num>
  <w:num w:numId="90">
    <w:abstractNumId w:val="85"/>
  </w:num>
  <w:num w:numId="91">
    <w:abstractNumId w:val="12"/>
  </w:num>
  <w:num w:numId="92">
    <w:abstractNumId w:val="3"/>
  </w:num>
  <w:num w:numId="93">
    <w:abstractNumId w:val="59"/>
  </w:num>
  <w:num w:numId="94">
    <w:abstractNumId w:val="0"/>
  </w:num>
  <w:num w:numId="95">
    <w:abstractNumId w:val="1"/>
  </w:num>
  <w:num w:numId="96">
    <w:abstractNumId w:val="27"/>
  </w:num>
  <w:num w:numId="97">
    <w:abstractNumId w:val="41"/>
  </w:num>
  <w:num w:numId="98">
    <w:abstractNumId w:val="99"/>
  </w:num>
  <w:num w:numId="99">
    <w:abstractNumId w:val="78"/>
  </w:num>
  <w:num w:numId="100">
    <w:abstractNumId w:val="105"/>
  </w:num>
  <w:num w:numId="101">
    <w:abstractNumId w:val="72"/>
  </w:num>
  <w:num w:numId="102">
    <w:abstractNumId w:val="81"/>
  </w:num>
  <w:num w:numId="103">
    <w:abstractNumId w:val="88"/>
  </w:num>
  <w:num w:numId="104">
    <w:abstractNumId w:val="44"/>
  </w:num>
  <w:num w:numId="105">
    <w:abstractNumId w:val="29"/>
  </w:num>
  <w:num w:numId="106">
    <w:abstractNumId w:val="107"/>
  </w:num>
  <w:num w:numId="107">
    <w:abstractNumId w:val="15"/>
  </w:num>
  <w:num w:numId="108">
    <w:abstractNumId w:val="5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 Pogorzelska">
    <w15:presenceInfo w15:providerId="AD" w15:userId="S-1-5-21-4194551197-2321984615-2707684047-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4D3A"/>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37BC9"/>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73C"/>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151"/>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5C6D"/>
    <w:rsid w:val="001E60F3"/>
    <w:rsid w:val="001F0117"/>
    <w:rsid w:val="001F29FF"/>
    <w:rsid w:val="001F3497"/>
    <w:rsid w:val="001F3B76"/>
    <w:rsid w:val="001F5562"/>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02E"/>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4A08"/>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3DE7"/>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66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1C1"/>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A68"/>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107"/>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344"/>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86F"/>
    <w:rsid w:val="00556ABD"/>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D69"/>
    <w:rsid w:val="005C4465"/>
    <w:rsid w:val="005C46A3"/>
    <w:rsid w:val="005C49B2"/>
    <w:rsid w:val="005C4D88"/>
    <w:rsid w:val="005C6A62"/>
    <w:rsid w:val="005C74BF"/>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18C3"/>
    <w:rsid w:val="00652CEA"/>
    <w:rsid w:val="006547C8"/>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193"/>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17F"/>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800CDA"/>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178A4"/>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875"/>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3E4"/>
    <w:rsid w:val="0087354D"/>
    <w:rsid w:val="00873EC1"/>
    <w:rsid w:val="008768A5"/>
    <w:rsid w:val="00877F69"/>
    <w:rsid w:val="0088029A"/>
    <w:rsid w:val="008808EF"/>
    <w:rsid w:val="008825D4"/>
    <w:rsid w:val="00883099"/>
    <w:rsid w:val="00883110"/>
    <w:rsid w:val="0088319E"/>
    <w:rsid w:val="00883235"/>
    <w:rsid w:val="0088351D"/>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0D8A"/>
    <w:rsid w:val="008A1080"/>
    <w:rsid w:val="008A222B"/>
    <w:rsid w:val="008A2CD9"/>
    <w:rsid w:val="008A2EC6"/>
    <w:rsid w:val="008A3CBE"/>
    <w:rsid w:val="008A451F"/>
    <w:rsid w:val="008A467D"/>
    <w:rsid w:val="008A559B"/>
    <w:rsid w:val="008A5E3D"/>
    <w:rsid w:val="008A603E"/>
    <w:rsid w:val="008A62BA"/>
    <w:rsid w:val="008A69F7"/>
    <w:rsid w:val="008A6F52"/>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916"/>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6EE9"/>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609"/>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023"/>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54C5"/>
    <w:rsid w:val="009D6562"/>
    <w:rsid w:val="009D7053"/>
    <w:rsid w:val="009D777F"/>
    <w:rsid w:val="009E01BB"/>
    <w:rsid w:val="009E0804"/>
    <w:rsid w:val="009E2BB3"/>
    <w:rsid w:val="009E2E12"/>
    <w:rsid w:val="009E4CA1"/>
    <w:rsid w:val="009E4E0D"/>
    <w:rsid w:val="009E54D8"/>
    <w:rsid w:val="009E55CD"/>
    <w:rsid w:val="009E6BEC"/>
    <w:rsid w:val="009E6E9E"/>
    <w:rsid w:val="009E7747"/>
    <w:rsid w:val="009E7AB2"/>
    <w:rsid w:val="009E7E72"/>
    <w:rsid w:val="009F04C7"/>
    <w:rsid w:val="009F07ED"/>
    <w:rsid w:val="009F10D5"/>
    <w:rsid w:val="009F398B"/>
    <w:rsid w:val="009F428C"/>
    <w:rsid w:val="009F5B56"/>
    <w:rsid w:val="009F6909"/>
    <w:rsid w:val="009F7050"/>
    <w:rsid w:val="009F73B5"/>
    <w:rsid w:val="009F76D8"/>
    <w:rsid w:val="009F76E2"/>
    <w:rsid w:val="009F7715"/>
    <w:rsid w:val="009F7F36"/>
    <w:rsid w:val="00A01186"/>
    <w:rsid w:val="00A011A3"/>
    <w:rsid w:val="00A01606"/>
    <w:rsid w:val="00A01612"/>
    <w:rsid w:val="00A01CC1"/>
    <w:rsid w:val="00A03923"/>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E1B"/>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32C5"/>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0A26"/>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B4A"/>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006"/>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0A7D"/>
    <w:rsid w:val="00DB1147"/>
    <w:rsid w:val="00DB2391"/>
    <w:rsid w:val="00DB42EB"/>
    <w:rsid w:val="00DB4451"/>
    <w:rsid w:val="00DB48A2"/>
    <w:rsid w:val="00DB5AD0"/>
    <w:rsid w:val="00DB5FC3"/>
    <w:rsid w:val="00DB7BDD"/>
    <w:rsid w:val="00DC0DBD"/>
    <w:rsid w:val="00DC1407"/>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A15"/>
    <w:rsid w:val="00DD6A85"/>
    <w:rsid w:val="00DD79AE"/>
    <w:rsid w:val="00DE048C"/>
    <w:rsid w:val="00DE2731"/>
    <w:rsid w:val="00DE349A"/>
    <w:rsid w:val="00DE389C"/>
    <w:rsid w:val="00DE4548"/>
    <w:rsid w:val="00DE47B1"/>
    <w:rsid w:val="00DE5A26"/>
    <w:rsid w:val="00DE5CF0"/>
    <w:rsid w:val="00DE6DE7"/>
    <w:rsid w:val="00DE75F9"/>
    <w:rsid w:val="00DF02DB"/>
    <w:rsid w:val="00DF0365"/>
    <w:rsid w:val="00DF270E"/>
    <w:rsid w:val="00DF2818"/>
    <w:rsid w:val="00DF3C0E"/>
    <w:rsid w:val="00DF53DB"/>
    <w:rsid w:val="00DF553E"/>
    <w:rsid w:val="00DF5977"/>
    <w:rsid w:val="00DF61D4"/>
    <w:rsid w:val="00DF65A1"/>
    <w:rsid w:val="00DF6954"/>
    <w:rsid w:val="00DF69F1"/>
    <w:rsid w:val="00DF7A30"/>
    <w:rsid w:val="00DF7A6E"/>
    <w:rsid w:val="00DF7B4F"/>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52D"/>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1E68"/>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3F3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679F"/>
    <w:rsid w:val="00EC72A1"/>
    <w:rsid w:val="00EC7E67"/>
    <w:rsid w:val="00ED1EF5"/>
    <w:rsid w:val="00ED2B08"/>
    <w:rsid w:val="00ED2C6D"/>
    <w:rsid w:val="00ED2E4E"/>
    <w:rsid w:val="00ED378A"/>
    <w:rsid w:val="00ED5095"/>
    <w:rsid w:val="00ED6A08"/>
    <w:rsid w:val="00ED70A6"/>
    <w:rsid w:val="00ED73E2"/>
    <w:rsid w:val="00ED74FF"/>
    <w:rsid w:val="00ED7982"/>
    <w:rsid w:val="00EE0AC6"/>
    <w:rsid w:val="00EE0AE6"/>
    <w:rsid w:val="00EE40E0"/>
    <w:rsid w:val="00EE4A1F"/>
    <w:rsid w:val="00EE72B0"/>
    <w:rsid w:val="00EE76DB"/>
    <w:rsid w:val="00EE7DEE"/>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06EE"/>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F49"/>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5D3"/>
    <w:rsid w:val="00FB673A"/>
    <w:rsid w:val="00FB69FE"/>
    <w:rsid w:val="00FB6CCD"/>
    <w:rsid w:val="00FC0810"/>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6FB0"/>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EF4C-30FF-44B8-B72E-6C4590B0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73</Pages>
  <Words>20392</Words>
  <Characters>122353</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Aneta Rudalska</cp:lastModifiedBy>
  <cp:revision>5</cp:revision>
  <cp:lastPrinted>2017-11-20T12:50:00Z</cp:lastPrinted>
  <dcterms:created xsi:type="dcterms:W3CDTF">2018-04-23T06:09:00Z</dcterms:created>
  <dcterms:modified xsi:type="dcterms:W3CDTF">2018-05-11T12:39:00Z</dcterms:modified>
</cp:coreProperties>
</file>