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501"/>
        <w:gridCol w:w="2011"/>
        <w:gridCol w:w="5854"/>
        <w:gridCol w:w="5854"/>
      </w:tblGrid>
      <w:tr w:rsidR="00E05D83" w:rsidRPr="001230FF" w:rsidTr="00014B27">
        <w:tc>
          <w:tcPr>
            <w:tcW w:w="649" w:type="dxa"/>
          </w:tcPr>
          <w:p w:rsidR="00E05D83" w:rsidRPr="001230FF" w:rsidRDefault="00E05D83" w:rsidP="00E05D83">
            <w:pPr>
              <w:jc w:val="center"/>
              <w:rPr>
                <w:rFonts w:ascii="Cambria" w:hAnsi="Cambria"/>
                <w:b/>
              </w:rPr>
            </w:pPr>
            <w:r w:rsidRPr="001230FF">
              <w:rPr>
                <w:rFonts w:ascii="Cambria" w:hAnsi="Cambria"/>
                <w:b/>
              </w:rPr>
              <w:t>Lp.</w:t>
            </w:r>
          </w:p>
        </w:tc>
        <w:tc>
          <w:tcPr>
            <w:tcW w:w="3782" w:type="dxa"/>
          </w:tcPr>
          <w:p w:rsidR="00E05D83" w:rsidRPr="001230FF" w:rsidRDefault="00E05D83" w:rsidP="00E05D8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5"/>
            </w:tblGrid>
            <w:tr w:rsidR="00E05D83" w:rsidRPr="001230FF">
              <w:trPr>
                <w:trHeight w:val="339"/>
              </w:trPr>
              <w:tc>
                <w:tcPr>
                  <w:tcW w:w="0" w:type="auto"/>
                </w:tcPr>
                <w:p w:rsidR="00E05D83" w:rsidRPr="001230FF" w:rsidRDefault="00E05D83" w:rsidP="00616E0E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1230FF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Część dokumentu, do którego odnosi się uwaga (Działanie, pkt tabeli, itp.)</w:t>
                  </w:r>
                </w:p>
              </w:tc>
            </w:tr>
          </w:tbl>
          <w:p w:rsidR="00E05D83" w:rsidRPr="001230FF" w:rsidRDefault="00E05D83" w:rsidP="00E05D8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42" w:type="dxa"/>
          </w:tcPr>
          <w:p w:rsidR="00E05D83" w:rsidRPr="001230FF" w:rsidRDefault="00E05D83" w:rsidP="00E05D8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7"/>
            </w:tblGrid>
            <w:tr w:rsidR="00E05D83" w:rsidRPr="001230FF" w:rsidTr="00E05D83">
              <w:trPr>
                <w:trHeight w:val="93"/>
              </w:trPr>
              <w:tc>
                <w:tcPr>
                  <w:tcW w:w="0" w:type="auto"/>
                  <w:vAlign w:val="center"/>
                </w:tcPr>
                <w:p w:rsidR="00E05D83" w:rsidRPr="001230FF" w:rsidRDefault="00E05D83" w:rsidP="00616E0E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1230FF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                  Zapis przed zmianą</w:t>
                  </w:r>
                </w:p>
              </w:tc>
            </w:tr>
          </w:tbl>
          <w:p w:rsidR="00E05D83" w:rsidRPr="001230FF" w:rsidRDefault="00E05D83" w:rsidP="00E05D8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946" w:type="dxa"/>
          </w:tcPr>
          <w:p w:rsidR="00E05D83" w:rsidRPr="001230FF" w:rsidRDefault="00E05D83" w:rsidP="00E05D8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4"/>
            </w:tblGrid>
            <w:tr w:rsidR="00E05D83" w:rsidRPr="001230FF">
              <w:trPr>
                <w:trHeight w:val="93"/>
              </w:trPr>
              <w:tc>
                <w:tcPr>
                  <w:tcW w:w="0" w:type="auto"/>
                </w:tcPr>
                <w:p w:rsidR="00E05D83" w:rsidRPr="001230FF" w:rsidRDefault="00E05D83" w:rsidP="00616E0E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1230FF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Zapis po zmianie</w:t>
                  </w:r>
                </w:p>
              </w:tc>
            </w:tr>
          </w:tbl>
          <w:p w:rsidR="00E05D83" w:rsidRPr="001230FF" w:rsidRDefault="00E05D83" w:rsidP="00E05D8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94F59" w:rsidRPr="001230FF" w:rsidTr="00014B27">
        <w:tc>
          <w:tcPr>
            <w:tcW w:w="649" w:type="dxa"/>
            <w:vAlign w:val="center"/>
          </w:tcPr>
          <w:p w:rsidR="00694F59" w:rsidRPr="001230FF" w:rsidRDefault="00694F59" w:rsidP="00682A0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782" w:type="dxa"/>
            <w:vAlign w:val="center"/>
          </w:tcPr>
          <w:p w:rsidR="00694F59" w:rsidRPr="001230FF" w:rsidRDefault="00694F59" w:rsidP="00694F59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>Regulamin dwuetapowego konkursu zamkniętego nr RPSW.03.03.00-IZ.00-26-157/17</w:t>
            </w:r>
            <w:r w:rsidRPr="001230F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Pr="001230FF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1230F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4B27" w:rsidRPr="001230FF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1230F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4B27" w:rsidRPr="001230FF">
              <w:rPr>
                <w:rFonts w:ascii="Cambria" w:hAnsi="Cambria"/>
                <w:b/>
                <w:sz w:val="22"/>
                <w:szCs w:val="22"/>
              </w:rPr>
              <w:t>ust. III</w:t>
            </w:r>
          </w:p>
          <w:p w:rsidR="00694F59" w:rsidRPr="001230FF" w:rsidRDefault="00694F59" w:rsidP="000D3E02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42" w:type="dxa"/>
            <w:vAlign w:val="center"/>
          </w:tcPr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 xml:space="preserve">III. </w:t>
            </w:r>
            <w:r w:rsidRPr="001230FF">
              <w:rPr>
                <w:rFonts w:ascii="Cambria" w:hAnsi="Cambria" w:cs="Cambria"/>
                <w:b/>
                <w:color w:val="000000"/>
              </w:rPr>
              <w:t>Dokumenty horyzontalne oraz wytyczne Ministra Rozwoju: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1.Umowa Partnerstwa 2014-2020  z dnia 23 maja 2014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2.Wytyczne w zakresie kwalifikowalności wydatków w ramach Europejskiego Funduszu Rozwoju Regionalnego, Europejskiego Funduszu Społecznego oraz Funduszu Spójności na lata 2014-2020 z dnia 19 września 2016r.;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3.Wytyczne w zakresie trybów wyboru projektów na lata 2014-2020 z dnia 31 marca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4.Wytyczne w zakresie wybranych zagadnień związanych z przygotowaniem projektów inwestycyjnych, w tym projektów generujących dochód i projektów hybrydowych na lata 2014-2020 z dnia 17 lutego 2017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5.Wytyczne w zakresie sprawozdawczości na lata 2014-2020 z dnia 8 maja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6.Wytyczne w zakresie warunków gromadzenia i przekazywania danych w formie elektronicznej na lata 2014-2020 z dnia 3 marca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7.Wytyczne w zakresie sposobu korygowania i odzyskiwania nieprawidłowych wydatków oraz raportowania nieprawidłowości w ramach programów operacyjnych polityki spójności na lata 2014-2020 z dnia 20 lipca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 xml:space="preserve">8.Wytyczne w zakresie monitorowania postępu rzeczowego </w:t>
            </w:r>
            <w:r w:rsidRPr="001230FF">
              <w:rPr>
                <w:rFonts w:ascii="Cambria" w:hAnsi="Cambria" w:cs="Cambria"/>
                <w:color w:val="000000"/>
              </w:rPr>
              <w:lastRenderedPageBreak/>
              <w:t>realizacji programów operacyjnych na lata 2014-2020 z dnia 22 kwietnia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9.Wytyczne w zakresie informacji i promocji programów operacyjnych polityki spójności na lata 2014-2020 z dnia 30 kwietnia 2015;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10.Wytyczne w zakresie procesu kontroli realizacji programów operacyjnych na lata 2014-2020 z dnia 28 maja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11.Wytyczne w zakresie warunków certyfikacji oraz przygotowania prognoz wniosków o płatność do Komisji Europejskiej w ramach programów operacyjnych na lata 2014 – 2020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 xml:space="preserve"> z dnia 31 marca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12.Wytyczne w zakresie ewaluacji polityki spójności na lata 2014-2020 z dnia 22 września 2015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13.Wytyczne w zakresie realizacji zasady równości szans i niedyskryminacji, w tym dostępności dla osób z niepełnosprawnościami oraz zasady równości szans kobiet i mężczyzn w ramach funduszy unijnych na lata 2014-2020 z dnia 8 maja 2015 roku.</w:t>
            </w:r>
          </w:p>
          <w:p w:rsidR="00694F59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14.Wytyczne w zakresie rewitalizacji w programach operacyjnych na lata 2014-2020 z dnia 3 lipca 2015 roku.</w:t>
            </w:r>
          </w:p>
        </w:tc>
        <w:tc>
          <w:tcPr>
            <w:tcW w:w="4946" w:type="dxa"/>
            <w:vAlign w:val="center"/>
          </w:tcPr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lastRenderedPageBreak/>
              <w:t xml:space="preserve">III. </w:t>
            </w:r>
            <w:r w:rsidRPr="001230FF">
              <w:rPr>
                <w:rFonts w:ascii="Cambria" w:hAnsi="Cambria" w:cs="Cambria"/>
                <w:b/>
                <w:color w:val="000000"/>
              </w:rPr>
              <w:t>Dokumenty horyzontalne oraz wytyczne Ministra Rozwoju: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1.Umowa Partnerstwa 2014-2020  z dnia 23 maja 2014 roku;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2.Wytyczne w zakresie kwalifikowalności wydatków w ramach Europejskiego Funduszu Rozwoju Regionalnego, Europejskiego Funduszu Społecznego oraz Funduszu Spójności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3.Wytyczne w zakresie trybów wyboru projektów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4.Wytyczne w zakresie wybranych zagadnień związanych z przygotowaniem projektów inwestycyjnych, w tym projektów generujących dochód i projektów hybrydowych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5.Wytyczne w zakresie sprawozdawczości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6.Wytyczne w zakresie warunków gromadzenia i przekazywania danych w formie elektronicznej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7.Wytyczne w zakresie sposobu korygowania i odzyskiwania nieprawidłowych wydatków oraz raportowania nieprawidłowości w ramach programów operacyjnych polityki spójności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8.Wytyczne w zakresie monitorowania postępu rzeczowego realizacji programów operacyjnych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lastRenderedPageBreak/>
              <w:t>9.Wytyczne w zakresie informacji i promocji programów operacyjnych polityki spójności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10.Wytyczne w zakresie procesu kontroli realizacji programów operacyjnych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11.Wytyczne w zakresie warunków certyfikacji oraz przygotowania prognoz wniosków o płatność do Komisji Europejskiej w ramach programów operacyjnych na lata 2014 – 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12.Wytyczne w zakresie ewaluacji polityki spójności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13.Wytyczne w zakresie realizacji zasady równości szans i niedyskryminacji, w tym dostępności dla osób z niepełnosprawnościami oraz zasady równości szans kobiet i mężczyzn w ramach funduszy unijnych na lata 2014-2020;</w:t>
            </w:r>
          </w:p>
          <w:p w:rsidR="00014B27" w:rsidRPr="001230FF" w:rsidRDefault="00014B27" w:rsidP="00014B2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1230FF">
              <w:rPr>
                <w:rFonts w:ascii="Cambria" w:hAnsi="Cambria" w:cs="Cambria"/>
                <w:color w:val="000000"/>
              </w:rPr>
              <w:t>14.Wytyczne w zakresie rewitalizacji w programach operacyjnych na lata 2014-2020;</w:t>
            </w:r>
          </w:p>
          <w:p w:rsidR="00694F59" w:rsidRPr="001230FF" w:rsidRDefault="00694F59" w:rsidP="00014B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5A7" w:rsidRPr="001230FF" w:rsidTr="00014B27">
        <w:tc>
          <w:tcPr>
            <w:tcW w:w="649" w:type="dxa"/>
            <w:vAlign w:val="center"/>
          </w:tcPr>
          <w:p w:rsidR="008545A7" w:rsidRPr="001230FF" w:rsidRDefault="001230FF" w:rsidP="001230FF">
            <w:pPr>
              <w:jc w:val="center"/>
              <w:rPr>
                <w:rFonts w:ascii="Cambria" w:hAnsi="Cambria"/>
                <w:b/>
              </w:rPr>
            </w:pPr>
            <w:r w:rsidRPr="001230FF">
              <w:rPr>
                <w:rFonts w:ascii="Cambria" w:hAnsi="Cambria"/>
                <w:b/>
              </w:rPr>
              <w:lastRenderedPageBreak/>
              <w:t>2</w:t>
            </w:r>
          </w:p>
        </w:tc>
        <w:tc>
          <w:tcPr>
            <w:tcW w:w="3782" w:type="dxa"/>
            <w:vAlign w:val="center"/>
          </w:tcPr>
          <w:p w:rsidR="008545A7" w:rsidRPr="001230FF" w:rsidRDefault="000D3E02" w:rsidP="000D3E02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>Regulamin dwuetapowego konkursu zamkniętego nr RPSW.03.03.00-IZ.00-26-157/17</w:t>
            </w:r>
            <w:r w:rsidR="008545A7" w:rsidRPr="001230F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014B27" w:rsidRPr="001230FF">
              <w:rPr>
                <w:rFonts w:ascii="Cambria" w:hAnsi="Cambria"/>
                <w:b/>
                <w:bCs/>
                <w:sz w:val="22"/>
                <w:szCs w:val="22"/>
              </w:rPr>
              <w:t xml:space="preserve"> W § 6 ust. 4 po </w:t>
            </w:r>
            <w:proofErr w:type="spellStart"/>
            <w:r w:rsidR="00014B27" w:rsidRPr="001230FF">
              <w:rPr>
                <w:rFonts w:ascii="Cambria" w:hAnsi="Cambria"/>
                <w:b/>
                <w:bCs/>
                <w:sz w:val="22"/>
                <w:szCs w:val="22"/>
              </w:rPr>
              <w:t>tirecie</w:t>
            </w:r>
            <w:proofErr w:type="spellEnd"/>
            <w:r w:rsidR="00014B27" w:rsidRPr="001230FF">
              <w:rPr>
                <w:rFonts w:ascii="Cambria" w:hAnsi="Cambria"/>
                <w:b/>
                <w:bCs/>
                <w:sz w:val="22"/>
                <w:szCs w:val="22"/>
              </w:rPr>
              <w:t xml:space="preserve"> 4 dodaje się kolejny </w:t>
            </w:r>
            <w:proofErr w:type="spellStart"/>
            <w:r w:rsidR="00014B27" w:rsidRPr="001230FF">
              <w:rPr>
                <w:rFonts w:ascii="Cambria" w:hAnsi="Cambria"/>
                <w:b/>
                <w:bCs/>
                <w:sz w:val="22"/>
                <w:szCs w:val="22"/>
              </w:rPr>
              <w:t>tiret</w:t>
            </w:r>
            <w:proofErr w:type="spellEnd"/>
          </w:p>
          <w:p w:rsidR="008545A7" w:rsidRPr="001230FF" w:rsidRDefault="008545A7" w:rsidP="00607E5D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42" w:type="dxa"/>
            <w:vAlign w:val="center"/>
          </w:tcPr>
          <w:p w:rsidR="008545A7" w:rsidRPr="001230FF" w:rsidRDefault="008545A7" w:rsidP="00B20AE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946" w:type="dxa"/>
            <w:vAlign w:val="center"/>
          </w:tcPr>
          <w:p w:rsidR="008545A7" w:rsidRPr="001230FF" w:rsidRDefault="00014B27" w:rsidP="00B20AE8">
            <w:pPr>
              <w:jc w:val="both"/>
              <w:rPr>
                <w:rFonts w:ascii="Cambria" w:hAnsi="Cambria"/>
                <w:b/>
              </w:rPr>
            </w:pPr>
            <w:r w:rsidRPr="001230FF">
              <w:rPr>
                <w:rFonts w:ascii="Cambria" w:hAnsi="Cambria"/>
                <w:b/>
              </w:rPr>
              <w:t xml:space="preserve">dodaje się kolejny </w:t>
            </w:r>
            <w:proofErr w:type="spellStart"/>
            <w:r w:rsidRPr="001230FF">
              <w:rPr>
                <w:rFonts w:ascii="Cambria" w:hAnsi="Cambria"/>
                <w:b/>
              </w:rPr>
              <w:t>tiret</w:t>
            </w:r>
            <w:proofErr w:type="spellEnd"/>
            <w:r w:rsidRPr="001230FF">
              <w:rPr>
                <w:rFonts w:ascii="Cambria" w:hAnsi="Cambria"/>
                <w:b/>
              </w:rPr>
              <w:t xml:space="preserve"> w brzmieniu:  „</w:t>
            </w:r>
            <w:r w:rsidRPr="001230FF">
              <w:rPr>
                <w:rFonts w:ascii="Cambria" w:hAnsi="Cambria"/>
              </w:rPr>
              <w:t xml:space="preserve">Dopuszczalne jest dostarczenie dokumentów wymienionych w zał. nr 4 do wzoru Umowy o dofinansowanie projektu najpóźniej w terminie na co najmniej 30 dni kalendarzowych przed złożeniem pierwszego wniosku o płatność, w którym Beneficjent wnioskuje o płatność zaliczkową/refundacyjną, nie później jednak niż do dnia wskazanego w § 24 ust. 1 umowy o dofinansowanie. W takiej sytuacji możliwe jest zawarcie warunkowej umowy o dofinansowanie projektu, zobowiązującej do dostarczenia przed złożeniem </w:t>
            </w:r>
            <w:r w:rsidRPr="001230FF">
              <w:rPr>
                <w:rFonts w:ascii="Cambria" w:hAnsi="Cambria"/>
              </w:rPr>
              <w:lastRenderedPageBreak/>
              <w:t>wspomnianego powyżej wniosku o płatność kompletu dokumentów z zał. 4 wzoru Umowy o dofinansowanie projektu i uzyskania pozytywnej weryfikacji w tym zakresie przez Instytucję Zarządzającą Regionalnym Programem Operacyjnych Województwa Świętokrzyskiego na lata 2014-2020. Ocena projektów na II etapie konkursu dokonywana jest w takim przypadku w oparciu o informacje zawarte w dokumentach załączonych przez Wnioskodawcę.”</w:t>
            </w:r>
          </w:p>
        </w:tc>
      </w:tr>
      <w:tr w:rsidR="001230FF" w:rsidRPr="001230FF" w:rsidTr="00014B27">
        <w:tc>
          <w:tcPr>
            <w:tcW w:w="649" w:type="dxa"/>
            <w:vAlign w:val="center"/>
          </w:tcPr>
          <w:p w:rsidR="001230FF" w:rsidRPr="001230FF" w:rsidRDefault="001230FF" w:rsidP="00682A08">
            <w:pPr>
              <w:jc w:val="center"/>
              <w:rPr>
                <w:rFonts w:ascii="Cambria" w:hAnsi="Cambria"/>
                <w:b/>
              </w:rPr>
            </w:pPr>
            <w:r w:rsidRPr="001230FF">
              <w:rPr>
                <w:rFonts w:ascii="Cambria" w:hAnsi="Cambria"/>
                <w:b/>
              </w:rPr>
              <w:lastRenderedPageBreak/>
              <w:t>3</w:t>
            </w:r>
          </w:p>
        </w:tc>
        <w:tc>
          <w:tcPr>
            <w:tcW w:w="3782" w:type="dxa"/>
            <w:vAlign w:val="center"/>
          </w:tcPr>
          <w:p w:rsidR="001230FF" w:rsidRPr="001230FF" w:rsidRDefault="001230FF" w:rsidP="000D3E02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>Regulamin dwuetapowego konkursu zamkniętego nr RPSW.03.03.00-IZ.00-26-157/17</w:t>
            </w:r>
            <w:r w:rsidRPr="001230F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 xml:space="preserve"> W § 6 ust. 4 </w:t>
            </w:r>
            <w:proofErr w:type="spellStart"/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>tiret</w:t>
            </w:r>
            <w:proofErr w:type="spellEnd"/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 xml:space="preserve"> 11 (po zmianie nr 2 </w:t>
            </w:r>
            <w:proofErr w:type="spellStart"/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>tiret</w:t>
            </w:r>
            <w:proofErr w:type="spellEnd"/>
            <w:r w:rsidRPr="001230FF">
              <w:rPr>
                <w:rFonts w:ascii="Cambria" w:hAnsi="Cambria"/>
                <w:b/>
                <w:bCs/>
                <w:sz w:val="22"/>
                <w:szCs w:val="22"/>
              </w:rPr>
              <w:t xml:space="preserve"> 12)</w:t>
            </w:r>
          </w:p>
        </w:tc>
        <w:tc>
          <w:tcPr>
            <w:tcW w:w="4842" w:type="dxa"/>
            <w:vAlign w:val="center"/>
          </w:tcPr>
          <w:p w:rsidR="001230FF" w:rsidRPr="002433AE" w:rsidRDefault="001230FF" w:rsidP="002433A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lang w:eastAsia="pl-PL"/>
              </w:rPr>
            </w:pPr>
            <w:r w:rsidRPr="001230FF">
              <w:rPr>
                <w:rFonts w:ascii="Cambria" w:hAnsi="Cambria"/>
                <w:lang w:eastAsia="pl-PL"/>
              </w:rPr>
              <w:t xml:space="preserve">Wnioskodawca, który ubiega się o dofinansowanie lub, który otrzymał dofinansowanie a przy dokonywaniu zamówień związanych z realizacją projektu nie jest zobowiązany do stosowania przepisów o zamówieniach publicznych, dokonuje wyboru wykonawcy i udziela zamówień związanych z realizacją projektu w oparciu o najbardziej korzystną ofertę, z zachowaniem zasad przejrzystości i uczciwej konkurencji. Wnioskodawcy zobowiązani są do  korzystania z Bazy Konkurencyjności Funduszy Europejskich, która dostępna jest pod adresem: http://www.bazakonkurencyjnosci.funduszeeuropejskie.gov.pl. Baza to narzędzie służące do publikacji zapytań ofertowych przez beneficjentów zobowiązanych do stosowania zasady konkurencyjności. Zasada ta wynika z </w:t>
            </w:r>
            <w:r w:rsidRPr="001230FF">
              <w:rPr>
                <w:rFonts w:ascii="Cambria" w:hAnsi="Cambria"/>
                <w:i/>
                <w:lang w:eastAsia="pl-PL"/>
              </w:rPr>
              <w:t xml:space="preserve">Wytycznych w zakresie kwalifikowalności wydatków </w:t>
            </w:r>
            <w:r w:rsidRPr="002433AE">
              <w:rPr>
                <w:rFonts w:ascii="Cambria" w:hAnsi="Cambria"/>
                <w:i/>
                <w:lang w:eastAsia="pl-PL"/>
              </w:rPr>
              <w:t>w ramach Europejskiego Funduszu Rozwoju Regionalnego, Europejskiego Funduszu Społecznego oraz Funduszu Spójności na lata 2014 – 2020</w:t>
            </w:r>
            <w:r w:rsidRPr="002433AE">
              <w:rPr>
                <w:rFonts w:ascii="Cambria" w:hAnsi="Cambria"/>
                <w:lang w:eastAsia="pl-PL"/>
              </w:rPr>
              <w:t xml:space="preserve"> i powinna być stosowana przez beneficjentów w przypadku udzielania zamówień, których wartość przekracza 50 tys. zł netto. Beneficjenci zobowiązani do stosowania przepisów ustawy z dnia 29 stycznia 2004 roku Prawo zamówień publicznych powinni stosować zasadę konkurencyjności jedynie dla tych </w:t>
            </w:r>
            <w:r w:rsidRPr="002433AE">
              <w:rPr>
                <w:rFonts w:ascii="Cambria" w:hAnsi="Cambria"/>
                <w:lang w:eastAsia="pl-PL"/>
              </w:rPr>
              <w:lastRenderedPageBreak/>
              <w:t>zamówień, których wartość jest niższa od kwoty określonej w art. 4 pkt 8 tej ustawy. Zasada konkurencyjności nie znajduje zastosowania w przypadku zamówień opisanych w pkt. 1 sekcji 6.5.3 w/w Wytycznych.</w:t>
            </w:r>
          </w:p>
        </w:tc>
        <w:tc>
          <w:tcPr>
            <w:tcW w:w="4946" w:type="dxa"/>
            <w:vAlign w:val="center"/>
          </w:tcPr>
          <w:p w:rsidR="001230FF" w:rsidRPr="001230FF" w:rsidRDefault="001230FF" w:rsidP="001230FF">
            <w:pPr>
              <w:jc w:val="both"/>
              <w:rPr>
                <w:rFonts w:ascii="Cambria" w:hAnsi="Cambria"/>
                <w:i/>
              </w:rPr>
            </w:pPr>
            <w:r w:rsidRPr="001230FF">
              <w:rPr>
                <w:rFonts w:ascii="Cambria" w:hAnsi="Cambria"/>
              </w:rPr>
              <w:lastRenderedPageBreak/>
              <w:t xml:space="preserve">Wnioskodawca, który ubiega się o dofinansowanie lub, który otrzymał dofinansowanie a przy dokonywaniu zamówień związanych z realizacją projektu nie jest zobowiązany do stosowania przepisów o zamówieniach publicznych, dokonuje wyboru wykonawcy i udziela zamówień związanych z realizacją projektu w oparciu o najbardziej korzystną ofertę, z zachowaniem zasad przejrzystości i uczciwej konkurencji. Wnioskodawcy zobowiązani są do  korzystania z Bazy Konkurencyjności Funduszy Europejskich, która dostępna jest pod adresem: http://www.bazakonkurencyjnosci.funduszeeuropejskie.gov.pl. Baza to narzędzie służące do publikacji zapytań ofertowych przez beneficjentów zobowiązanych do stosowania zasady konkurencyjności. Zasada ta wynika z </w:t>
            </w:r>
            <w:r w:rsidRPr="001230FF">
              <w:rPr>
                <w:rFonts w:ascii="Cambria" w:hAnsi="Cambria"/>
                <w:i/>
              </w:rPr>
              <w:t>Wytycznych w zakresie kwalifikowalności wydatków w ramach Europejskiego Funduszu Rozwoju Regionalnego, Europejskiego Funduszu Społecznego oraz Funduszu Spójności na lata 2014 – 2020</w:t>
            </w:r>
            <w:r w:rsidRPr="001230FF">
              <w:rPr>
                <w:rFonts w:ascii="Cambria" w:hAnsi="Cambria"/>
              </w:rPr>
              <w:t xml:space="preserve"> (Sekcja 6.5 </w:t>
            </w:r>
            <w:r w:rsidRPr="001230FF">
              <w:rPr>
                <w:rFonts w:ascii="Cambria" w:hAnsi="Cambria"/>
                <w:i/>
              </w:rPr>
              <w:t>Zamówienia udzielane w ramach projektów</w:t>
            </w:r>
            <w:r w:rsidRPr="001230FF">
              <w:rPr>
                <w:rFonts w:ascii="Cambria" w:hAnsi="Cambria"/>
              </w:rPr>
              <w:t>).</w:t>
            </w:r>
          </w:p>
        </w:tc>
      </w:tr>
    </w:tbl>
    <w:p w:rsidR="00F75962" w:rsidRPr="00E05D83" w:rsidRDefault="00F75962" w:rsidP="00826C7D">
      <w:pPr>
        <w:rPr>
          <w:rFonts w:asciiTheme="majorHAnsi" w:hAnsiTheme="majorHAnsi"/>
          <w:b/>
          <w:sz w:val="24"/>
          <w:szCs w:val="24"/>
        </w:rPr>
      </w:pPr>
    </w:p>
    <w:sectPr w:rsidR="00F75962" w:rsidRPr="00E05D83" w:rsidSect="00E05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26" w:rsidRDefault="00514A26" w:rsidP="008431DB">
      <w:pPr>
        <w:spacing w:after="0" w:line="240" w:lineRule="auto"/>
      </w:pPr>
      <w:r>
        <w:separator/>
      </w:r>
    </w:p>
  </w:endnote>
  <w:endnote w:type="continuationSeparator" w:id="0">
    <w:p w:rsidR="00514A26" w:rsidRDefault="00514A26" w:rsidP="0084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616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616E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616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26" w:rsidRDefault="00514A26" w:rsidP="008431DB">
      <w:pPr>
        <w:spacing w:after="0" w:line="240" w:lineRule="auto"/>
      </w:pPr>
      <w:r>
        <w:separator/>
      </w:r>
    </w:p>
  </w:footnote>
  <w:footnote w:type="continuationSeparator" w:id="0">
    <w:p w:rsidR="00514A26" w:rsidRDefault="00514A26" w:rsidP="0084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616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DB" w:rsidRDefault="008431DB" w:rsidP="006B3142">
    <w:pPr>
      <w:pStyle w:val="Nagwek"/>
      <w:rPr>
        <w:rFonts w:ascii="Cambria" w:hAnsi="Cambria"/>
        <w:i/>
      </w:rPr>
    </w:pPr>
    <w:r w:rsidRPr="008431DB">
      <w:rPr>
        <w:rFonts w:ascii="Cambria" w:hAnsi="Cambria"/>
        <w:i/>
      </w:rPr>
      <w:t xml:space="preserve">Załącznik nr 1 do Uchwały Zarządu Województwa Świętokrzyskiego nr  </w:t>
    </w:r>
    <w:r w:rsidR="00193201">
      <w:rPr>
        <w:rFonts w:ascii="Cambria" w:hAnsi="Cambria"/>
        <w:i/>
      </w:rPr>
      <w:t xml:space="preserve"> </w:t>
    </w:r>
    <w:r w:rsidR="00616E0E">
      <w:rPr>
        <w:rFonts w:ascii="Cambria" w:hAnsi="Cambria"/>
        <w:i/>
      </w:rPr>
      <w:t>3638</w:t>
    </w:r>
    <w:r w:rsidR="00193201">
      <w:rPr>
        <w:rFonts w:ascii="Cambria" w:hAnsi="Cambria"/>
        <w:i/>
      </w:rPr>
      <w:t xml:space="preserve"> </w:t>
    </w:r>
    <w:r w:rsidRPr="008431DB">
      <w:rPr>
        <w:rFonts w:ascii="Cambria" w:hAnsi="Cambria"/>
        <w:i/>
      </w:rPr>
      <w:t>/1</w:t>
    </w:r>
    <w:r w:rsidR="008E23A0">
      <w:rPr>
        <w:rFonts w:ascii="Cambria" w:hAnsi="Cambria"/>
        <w:i/>
      </w:rPr>
      <w:t>8</w:t>
    </w:r>
    <w:r w:rsidRPr="008431DB">
      <w:rPr>
        <w:rFonts w:ascii="Cambria" w:hAnsi="Cambria"/>
        <w:i/>
      </w:rPr>
      <w:t xml:space="preserve"> z dnia</w:t>
    </w:r>
    <w:r w:rsidR="0021637C">
      <w:rPr>
        <w:rFonts w:ascii="Cambria" w:hAnsi="Cambria"/>
        <w:i/>
      </w:rPr>
      <w:t xml:space="preserve"> </w:t>
    </w:r>
    <w:r w:rsidR="00193201">
      <w:rPr>
        <w:rFonts w:ascii="Cambria" w:hAnsi="Cambria"/>
        <w:i/>
      </w:rPr>
      <w:t xml:space="preserve">  </w:t>
    </w:r>
    <w:r w:rsidR="00616E0E">
      <w:rPr>
        <w:rFonts w:ascii="Cambria" w:hAnsi="Cambria"/>
        <w:i/>
      </w:rPr>
      <w:t>09.03.</w:t>
    </w:r>
    <w:bookmarkStart w:id="0" w:name="_GoBack"/>
    <w:bookmarkEnd w:id="0"/>
    <w:r w:rsidR="00163442">
      <w:rPr>
        <w:rFonts w:ascii="Cambria" w:hAnsi="Cambria"/>
        <w:i/>
      </w:rPr>
      <w:t xml:space="preserve"> </w:t>
    </w:r>
    <w:r w:rsidR="00D14F2B">
      <w:rPr>
        <w:rFonts w:ascii="Cambria" w:hAnsi="Cambria"/>
        <w:i/>
      </w:rPr>
      <w:t>201</w:t>
    </w:r>
    <w:r w:rsidR="008E23A0">
      <w:rPr>
        <w:rFonts w:ascii="Cambria" w:hAnsi="Cambria"/>
        <w:i/>
      </w:rPr>
      <w:t>8</w:t>
    </w:r>
    <w:r w:rsidR="00D14F2B">
      <w:rPr>
        <w:rFonts w:ascii="Cambria" w:hAnsi="Cambria"/>
        <w:i/>
      </w:rPr>
      <w:t xml:space="preserve"> r.</w:t>
    </w:r>
  </w:p>
  <w:p w:rsidR="006B3142" w:rsidRDefault="006B3142" w:rsidP="006B3142">
    <w:pPr>
      <w:pStyle w:val="Nagwek"/>
      <w:rPr>
        <w:rFonts w:ascii="Cambria" w:hAnsi="Cambria"/>
        <w:i/>
      </w:rPr>
    </w:pPr>
  </w:p>
  <w:p w:rsidR="006B3142" w:rsidRDefault="006B3142" w:rsidP="006B3142">
    <w:pPr>
      <w:pStyle w:val="Nagwek"/>
      <w:rPr>
        <w:rFonts w:ascii="Cambria" w:hAnsi="Cambria"/>
        <w:i/>
      </w:rPr>
    </w:pPr>
  </w:p>
  <w:p w:rsidR="00BB6138" w:rsidRPr="00865EDA" w:rsidRDefault="006B3142" w:rsidP="00865EDA">
    <w:r>
      <w:t xml:space="preserve">Wykaz zmian do </w:t>
    </w:r>
    <w:r w:rsidRPr="004F0B8B">
      <w:t xml:space="preserve">Regulaminu </w:t>
    </w:r>
    <w:r w:rsidR="000D3E02">
      <w:t>dwuetapowego</w:t>
    </w:r>
    <w:r w:rsidRPr="004F0B8B">
      <w:t xml:space="preserve"> ko</w:t>
    </w:r>
    <w:r w:rsidR="00276CF4">
      <w:t>nkursu zamkniętego nr RPSW.0</w:t>
    </w:r>
    <w:r w:rsidR="00193201">
      <w:t>3</w:t>
    </w:r>
    <w:r w:rsidR="00276CF4">
      <w:t>.0</w:t>
    </w:r>
    <w:r w:rsidR="008E23A0">
      <w:t>3</w:t>
    </w:r>
    <w:r w:rsidRPr="004F0B8B">
      <w:t>.00-IZ.00-26-</w:t>
    </w:r>
    <w:r w:rsidR="008E23A0">
      <w:t>157</w:t>
    </w:r>
    <w:r w:rsidR="00865EDA">
      <w:t>/1</w:t>
    </w:r>
    <w:r w:rsidR="00231FA8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E" w:rsidRDefault="00616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A3B"/>
    <w:multiLevelType w:val="hybridMultilevel"/>
    <w:tmpl w:val="E0B6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2E1"/>
    <w:multiLevelType w:val="multilevel"/>
    <w:tmpl w:val="C7524E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624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1AD58F3"/>
    <w:multiLevelType w:val="hybridMultilevel"/>
    <w:tmpl w:val="DB5E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7B8D"/>
    <w:multiLevelType w:val="hybridMultilevel"/>
    <w:tmpl w:val="385A46B4"/>
    <w:lvl w:ilvl="0" w:tplc="FAA0581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E6656B1"/>
    <w:multiLevelType w:val="hybridMultilevel"/>
    <w:tmpl w:val="87AE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67D4"/>
    <w:multiLevelType w:val="hybridMultilevel"/>
    <w:tmpl w:val="9042D5C4"/>
    <w:lvl w:ilvl="0" w:tplc="73760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43B1"/>
    <w:multiLevelType w:val="hybridMultilevel"/>
    <w:tmpl w:val="7402F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4F7A"/>
    <w:multiLevelType w:val="hybridMultilevel"/>
    <w:tmpl w:val="11E4CF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0D0602F"/>
    <w:multiLevelType w:val="hybridMultilevel"/>
    <w:tmpl w:val="6592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5715A"/>
    <w:multiLevelType w:val="hybridMultilevel"/>
    <w:tmpl w:val="3236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05277"/>
    <w:multiLevelType w:val="hybridMultilevel"/>
    <w:tmpl w:val="81FA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4F47"/>
    <w:multiLevelType w:val="hybridMultilevel"/>
    <w:tmpl w:val="6592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45533"/>
    <w:multiLevelType w:val="hybridMultilevel"/>
    <w:tmpl w:val="977879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D9726B"/>
    <w:multiLevelType w:val="hybridMultilevel"/>
    <w:tmpl w:val="E3FE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70355"/>
    <w:multiLevelType w:val="hybridMultilevel"/>
    <w:tmpl w:val="8ECC8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A6B33A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2444"/>
    <w:multiLevelType w:val="hybridMultilevel"/>
    <w:tmpl w:val="5E9A9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066CD"/>
    <w:multiLevelType w:val="hybridMultilevel"/>
    <w:tmpl w:val="127436E4"/>
    <w:lvl w:ilvl="0" w:tplc="2A1CCDA0">
      <w:start w:val="1"/>
      <w:numFmt w:val="lowerLetter"/>
      <w:lvlText w:val="%1)"/>
      <w:lvlJc w:val="left"/>
      <w:pPr>
        <w:ind w:left="644" w:hanging="360"/>
      </w:pPr>
      <w:rPr>
        <w:rFonts w:ascii="Cambria" w:eastAsia="Calibri" w:hAnsi="Cambria" w:cs="EUAlbertina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BC21F5"/>
    <w:multiLevelType w:val="hybridMultilevel"/>
    <w:tmpl w:val="E416B83C"/>
    <w:lvl w:ilvl="0" w:tplc="FB663EB6">
      <w:start w:val="5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/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83"/>
    <w:rsid w:val="00014B27"/>
    <w:rsid w:val="00014C4A"/>
    <w:rsid w:val="00024566"/>
    <w:rsid w:val="00090CB2"/>
    <w:rsid w:val="000B0815"/>
    <w:rsid w:val="000D3E02"/>
    <w:rsid w:val="000E0D9C"/>
    <w:rsid w:val="000E2D5C"/>
    <w:rsid w:val="001230FF"/>
    <w:rsid w:val="00163442"/>
    <w:rsid w:val="00193201"/>
    <w:rsid w:val="001A1727"/>
    <w:rsid w:val="001D59A2"/>
    <w:rsid w:val="001F311A"/>
    <w:rsid w:val="002134E6"/>
    <w:rsid w:val="0021637C"/>
    <w:rsid w:val="00222407"/>
    <w:rsid w:val="00231FA8"/>
    <w:rsid w:val="00242774"/>
    <w:rsid w:val="002433AE"/>
    <w:rsid w:val="00276CF4"/>
    <w:rsid w:val="0028424E"/>
    <w:rsid w:val="002C3433"/>
    <w:rsid w:val="00311F2D"/>
    <w:rsid w:val="00313FAD"/>
    <w:rsid w:val="0038168E"/>
    <w:rsid w:val="003A3ECF"/>
    <w:rsid w:val="003E3827"/>
    <w:rsid w:val="00467792"/>
    <w:rsid w:val="004836E7"/>
    <w:rsid w:val="004924DF"/>
    <w:rsid w:val="004F0B8B"/>
    <w:rsid w:val="00514A26"/>
    <w:rsid w:val="00537254"/>
    <w:rsid w:val="00572032"/>
    <w:rsid w:val="005950CE"/>
    <w:rsid w:val="005A2F07"/>
    <w:rsid w:val="005B2D99"/>
    <w:rsid w:val="005C7201"/>
    <w:rsid w:val="00607E5D"/>
    <w:rsid w:val="00616E0E"/>
    <w:rsid w:val="0062791C"/>
    <w:rsid w:val="00663969"/>
    <w:rsid w:val="00682A08"/>
    <w:rsid w:val="00690938"/>
    <w:rsid w:val="00694F59"/>
    <w:rsid w:val="006B3142"/>
    <w:rsid w:val="006B5BD6"/>
    <w:rsid w:val="007038F1"/>
    <w:rsid w:val="00772D8D"/>
    <w:rsid w:val="007D0F75"/>
    <w:rsid w:val="0082609A"/>
    <w:rsid w:val="00826C7D"/>
    <w:rsid w:val="008431DB"/>
    <w:rsid w:val="00845ECA"/>
    <w:rsid w:val="0085313A"/>
    <w:rsid w:val="008545A7"/>
    <w:rsid w:val="008627C3"/>
    <w:rsid w:val="00865EDA"/>
    <w:rsid w:val="008E23A0"/>
    <w:rsid w:val="008F71C2"/>
    <w:rsid w:val="009546DC"/>
    <w:rsid w:val="00974F3B"/>
    <w:rsid w:val="009B456C"/>
    <w:rsid w:val="00A1312C"/>
    <w:rsid w:val="00A86168"/>
    <w:rsid w:val="00A95377"/>
    <w:rsid w:val="00AA2BA3"/>
    <w:rsid w:val="00AC3495"/>
    <w:rsid w:val="00B1351F"/>
    <w:rsid w:val="00B20AE8"/>
    <w:rsid w:val="00B24C23"/>
    <w:rsid w:val="00B43611"/>
    <w:rsid w:val="00B4477C"/>
    <w:rsid w:val="00B8365C"/>
    <w:rsid w:val="00BB5DCE"/>
    <w:rsid w:val="00BB6138"/>
    <w:rsid w:val="00BC258C"/>
    <w:rsid w:val="00C02C75"/>
    <w:rsid w:val="00C60F62"/>
    <w:rsid w:val="00C9538A"/>
    <w:rsid w:val="00CE7243"/>
    <w:rsid w:val="00CF0842"/>
    <w:rsid w:val="00D14F2B"/>
    <w:rsid w:val="00D376DB"/>
    <w:rsid w:val="00D37E8D"/>
    <w:rsid w:val="00D75C41"/>
    <w:rsid w:val="00D81059"/>
    <w:rsid w:val="00DC3BC6"/>
    <w:rsid w:val="00E05D83"/>
    <w:rsid w:val="00E611B3"/>
    <w:rsid w:val="00E71E0C"/>
    <w:rsid w:val="00EB7A5B"/>
    <w:rsid w:val="00EC295A"/>
    <w:rsid w:val="00F45672"/>
    <w:rsid w:val="00F75962"/>
    <w:rsid w:val="00F7620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DB"/>
  </w:style>
  <w:style w:type="paragraph" w:styleId="Stopka">
    <w:name w:val="footer"/>
    <w:basedOn w:val="Normalny"/>
    <w:link w:val="Stopka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DB"/>
  </w:style>
  <w:style w:type="paragraph" w:styleId="NormalnyWeb">
    <w:name w:val="Normal (Web)"/>
    <w:basedOn w:val="Normalny"/>
    <w:uiPriority w:val="99"/>
    <w:unhideWhenUsed/>
    <w:rsid w:val="004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7E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28424E"/>
    <w:pPr>
      <w:spacing w:after="160"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28424E"/>
    <w:rPr>
      <w:rFonts w:ascii="Times New Roman" w:eastAsia="Times New Roman" w:hAnsi="Times New Roman" w:cs="Times New Roman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BB5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DB"/>
  </w:style>
  <w:style w:type="paragraph" w:styleId="Stopka">
    <w:name w:val="footer"/>
    <w:basedOn w:val="Normalny"/>
    <w:link w:val="Stopka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DB"/>
  </w:style>
  <w:style w:type="paragraph" w:styleId="NormalnyWeb">
    <w:name w:val="Normal (Web)"/>
    <w:basedOn w:val="Normalny"/>
    <w:uiPriority w:val="99"/>
    <w:unhideWhenUsed/>
    <w:rsid w:val="004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7E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28424E"/>
    <w:pPr>
      <w:spacing w:after="160"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28424E"/>
    <w:rPr>
      <w:rFonts w:ascii="Times New Roman" w:eastAsia="Times New Roman" w:hAnsi="Times New Roman" w:cs="Times New Roman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BB5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2F2E-CE2B-4058-9710-0D99FFF1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Ćwiek, Aneta</cp:lastModifiedBy>
  <cp:revision>6</cp:revision>
  <cp:lastPrinted>2018-03-08T06:56:00Z</cp:lastPrinted>
  <dcterms:created xsi:type="dcterms:W3CDTF">2018-03-07T12:17:00Z</dcterms:created>
  <dcterms:modified xsi:type="dcterms:W3CDTF">2018-03-09T09:32:00Z</dcterms:modified>
</cp:coreProperties>
</file>