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Default="009A2278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1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30.11.2016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782"/>
        <w:gridCol w:w="142"/>
        <w:gridCol w:w="141"/>
        <w:gridCol w:w="142"/>
        <w:gridCol w:w="3402"/>
        <w:gridCol w:w="142"/>
        <w:gridCol w:w="1843"/>
        <w:gridCol w:w="141"/>
        <w:gridCol w:w="142"/>
        <w:gridCol w:w="1985"/>
        <w:gridCol w:w="1842"/>
      </w:tblGrid>
      <w:tr w:rsidR="00F635A8" w:rsidRPr="00FF1ECE" w:rsidTr="0011230D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3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704" w:type="dxa"/>
            <w:gridSpan w:val="11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1230D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0B7C41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1230D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0B7C4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1230D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0B7C41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1230D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2016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0B7C41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konkursowe,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2016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0B7C41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1230D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0B7C41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84CAE" w:rsidRDefault="00984CAE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wupzielonagora.praca.gov.pl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konkursowe,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gridSpan w:val="2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wspieranej osoby lub poradnictwo zawodowe w zakresie planowania rozwoju kariery zawodowej, w tym podnoszenia lub uzupełniania </w:t>
            </w:r>
            <w:r w:rsidRPr="00D8666B">
              <w:rPr>
                <w:rFonts w:ascii="Arial" w:hAnsi="Arial" w:cs="Arial"/>
              </w:rPr>
              <w:lastRenderedPageBreak/>
              <w:t>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praktycznych umiejętności w zakresie wykonywania danego zawodu, m.in. poprzez staże i praktyki, spełniające standardy </w:t>
            </w:r>
            <w:r w:rsidRPr="00D8666B">
              <w:rPr>
                <w:rFonts w:ascii="Arial" w:hAnsi="Arial" w:cs="Arial"/>
              </w:rPr>
              <w:lastRenderedPageBreak/>
              <w:t>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</w:t>
            </w:r>
            <w:r w:rsidRPr="00D8666B">
              <w:rPr>
                <w:rFonts w:ascii="Arial" w:hAnsi="Arial" w:cs="Arial"/>
              </w:rPr>
              <w:lastRenderedPageBreak/>
              <w:t>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 xml:space="preserve">wsparcie osób młodych w zakładaniu i prowadzeniu własnej działalności gospodarczej poprzez udzielenie pomocy bezzwrotnej </w:t>
            </w:r>
            <w:r w:rsidRPr="00D8666B">
              <w:rPr>
                <w:rFonts w:ascii="Arial" w:hAnsi="Arial" w:cs="Arial"/>
              </w:rPr>
              <w:lastRenderedPageBreak/>
              <w:t>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0B7C41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9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842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11230D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gridSpan w:val="2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wyboru zawodu zgodnego z kwalifikacjami i kompetencjami wspieranej osoby lub poradnictwo zawodowe w zakresie planowania </w:t>
            </w:r>
            <w:r w:rsidRPr="004F1CC1">
              <w:rPr>
                <w:rFonts w:ascii="Arial" w:hAnsi="Arial" w:cs="Arial"/>
              </w:rPr>
              <w:lastRenderedPageBreak/>
              <w:t>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</w:t>
            </w:r>
            <w:r w:rsidRPr="004F1CC1">
              <w:rPr>
                <w:rFonts w:ascii="Arial" w:hAnsi="Arial" w:cs="Arial"/>
              </w:rPr>
              <w:lastRenderedPageBreak/>
              <w:t>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</w:t>
            </w:r>
            <w:r w:rsidRPr="004F1CC1">
              <w:rPr>
                <w:rFonts w:ascii="Arial" w:hAnsi="Arial" w:cs="Arial"/>
              </w:rPr>
              <w:lastRenderedPageBreak/>
              <w:t>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 xml:space="preserve">a) wsparcie osób młodych w zakładaniu i prowadzeniu własnej </w:t>
            </w:r>
            <w:r w:rsidRPr="004F1CC1">
              <w:rPr>
                <w:rFonts w:ascii="Arial" w:hAnsi="Arial" w:cs="Arial"/>
              </w:rPr>
              <w:lastRenderedPageBreak/>
              <w:t>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0B7C41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704" w:type="dxa"/>
            <w:gridSpan w:val="11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4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4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lastRenderedPageBreak/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Szkolenia w zakresie form opieki </w:t>
            </w:r>
            <w:r w:rsidRPr="00511B70">
              <w:rPr>
                <w:rFonts w:ascii="Arial" w:hAnsi="Arial" w:cs="Arial"/>
              </w:rPr>
              <w:lastRenderedPageBreak/>
              <w:t>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11230D" w:rsidRDefault="000B7C41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W ramach </w:t>
            </w:r>
            <w:r w:rsidRPr="00511B70">
              <w:rPr>
                <w:rFonts w:ascii="Arial" w:hAnsi="Arial" w:cs="Arial"/>
              </w:rPr>
              <w:lastRenderedPageBreak/>
              <w:t>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1765" w:type="dxa"/>
            <w:gridSpan w:val="12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11230D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4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11230D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 xml:space="preserve">Wsparcie na rzecz zarządzania strategicznego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lastRenderedPageBreak/>
              <w:t>przedsiębiorstw oraz budowy przewagi konkurencyjnej na rynku</w:t>
            </w:r>
          </w:p>
        </w:tc>
        <w:tc>
          <w:tcPr>
            <w:tcW w:w="2126" w:type="dxa"/>
            <w:gridSpan w:val="4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11230D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4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na poziomie grup przedsiębiorstw, np. branż, terytoriów, grup kooperujących 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3) Przygotowanie propozycji planów rozwojowych określających </w:t>
            </w:r>
            <w:r w:rsidRPr="00D8666B">
              <w:rPr>
                <w:rFonts w:ascii="Arial" w:hAnsi="Arial" w:cs="Arial"/>
              </w:rPr>
              <w:lastRenderedPageBreak/>
              <w:t>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0B7C41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126" w:type="dxa"/>
            <w:gridSpan w:val="4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</w:t>
            </w:r>
            <w:bookmarkStart w:id="0" w:name="_GoBack"/>
            <w:bookmarkEnd w:id="0"/>
            <w:r w:rsidRPr="00511B70">
              <w:rPr>
                <w:rFonts w:ascii="Arial" w:hAnsi="Arial" w:cs="Arial"/>
              </w:rPr>
              <w:t xml:space="preserve">nowelizacją (w tym przede wszystkim możliwości wykorzystania nowych instrumentów i usług, takich jak m.in. bony szkoleniowe, </w:t>
            </w:r>
            <w:r w:rsidRPr="00511B70">
              <w:rPr>
                <w:rFonts w:ascii="Arial" w:hAnsi="Arial" w:cs="Arial"/>
              </w:rPr>
              <w:lastRenderedPageBreak/>
              <w:t xml:space="preserve">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lastRenderedPageBreak/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ich do potrzeb rynku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</w:t>
            </w:r>
          </w:p>
        </w:tc>
        <w:tc>
          <w:tcPr>
            <w:tcW w:w="2126" w:type="dxa"/>
            <w:gridSpan w:val="4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Rozbudowa istniejącego narzędzia prognozowania popytu na pracę pozwalająca na lepsze dopasowanie narzędzia do potrzeb instytucji rynku pracy oraz jego integracja z innymi funkcjonującymi 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4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1765" w:type="dxa"/>
            <w:gridSpan w:val="12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4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dostosowania do zatrudnienia </w:t>
            </w:r>
            <w:r w:rsidRPr="00D8666B">
              <w:rPr>
                <w:rFonts w:ascii="Arial" w:hAnsi="Arial" w:cs="Arial"/>
              </w:rPr>
              <w:lastRenderedPageBreak/>
              <w:t>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4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społecznych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świadczonych w środowisku lokalnym</w:t>
            </w:r>
          </w:p>
        </w:tc>
        <w:tc>
          <w:tcPr>
            <w:tcW w:w="2126" w:type="dxa"/>
            <w:gridSpan w:val="4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Wypracowanie standardów i przeprowadzenie pilotaży w </w:t>
            </w:r>
            <w:r w:rsidRPr="00D8666B">
              <w:rPr>
                <w:rFonts w:ascii="Arial" w:hAnsi="Arial" w:cs="Arial"/>
              </w:rPr>
              <w:lastRenderedPageBreak/>
              <w:t>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11230D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4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czerwiec 2016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0B7C41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867116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4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0B7C41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ED4BB2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</w:t>
            </w:r>
            <w:r w:rsidRPr="00D8666B">
              <w:rPr>
                <w:rFonts w:ascii="Arial" w:hAnsi="Arial" w:cs="Arial"/>
              </w:rPr>
              <w:lastRenderedPageBreak/>
              <w:t>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0B7C41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2016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0B7C41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Pr="00D8666B" w:rsidRDefault="00ED4BB2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</w:tc>
      </w:tr>
      <w:tr w:rsidR="00D8666B" w:rsidRPr="00FF1ECE" w:rsidTr="00867116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1765" w:type="dxa"/>
            <w:gridSpan w:val="12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867116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765" w:type="dxa"/>
            <w:gridSpan w:val="12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867116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765" w:type="dxa"/>
            <w:gridSpan w:val="12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4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>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Kształcenie i szkolenie zawodowe dostosowane do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potrzeb zmieniającej się gospodarki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4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4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</w:t>
            </w:r>
            <w:r w:rsidRPr="00D8666B">
              <w:rPr>
                <w:rFonts w:ascii="Arial" w:hAnsi="Arial" w:cs="Arial"/>
              </w:rPr>
              <w:lastRenderedPageBreak/>
              <w:t xml:space="preserve">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</w:t>
            </w:r>
            <w:r w:rsidRPr="00D8666B">
              <w:rPr>
                <w:rFonts w:ascii="Arial" w:hAnsi="Arial" w:cs="Arial"/>
              </w:rPr>
              <w:lastRenderedPageBreak/>
              <w:t>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1842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867116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</w:t>
            </w:r>
            <w:r w:rsidRPr="00D8666B">
              <w:rPr>
                <w:rFonts w:ascii="Arial" w:hAnsi="Arial" w:cs="Arial"/>
              </w:rPr>
              <w:lastRenderedPageBreak/>
              <w:t>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867116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1765" w:type="dxa"/>
            <w:gridSpan w:val="12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86711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</w:t>
            </w:r>
            <w:r w:rsidRPr="00D8666B">
              <w:rPr>
                <w:rFonts w:ascii="Arial" w:hAnsi="Arial" w:cs="Arial"/>
              </w:rPr>
              <w:lastRenderedPageBreak/>
              <w:t>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0B7C41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1842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867116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Usprawnienie procesów inwestycyjno-budowlanych i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planowania przestrzennego</w:t>
            </w:r>
          </w:p>
        </w:tc>
        <w:tc>
          <w:tcPr>
            <w:tcW w:w="2126" w:type="dxa"/>
            <w:gridSpan w:val="4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Podnoszenie kompetencji kadr planowania przestrzennego w zakresie technik zapisu miejscowego planu zagospodarowania przestrzennego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6711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4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0B7C4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0D150D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765" w:type="dxa"/>
            <w:gridSpan w:val="12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867116">
        <w:trPr>
          <w:trHeight w:val="78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867116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0B7C4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867116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Wspieranie świadczenia wysokiej jakości usług przez instytucje (np. akademickie biura karier), wspomagające studentów w rozpoczęciu aktywności zawodowej na rynku </w:t>
            </w:r>
            <w:r w:rsidRPr="00D8666B">
              <w:rPr>
                <w:rFonts w:ascii="Arial" w:hAnsi="Arial" w:cs="Arial"/>
              </w:rPr>
              <w:lastRenderedPageBreak/>
              <w:t>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867116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osób uczestniczących w edukacji na poziomie wyższym, w obszarach kluczowych dla gospodarki i rozwoju kraju, określanych w oparciu o analizy i prognozy potwierdzające potrzebę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działania włączające pracodawców w przygotowanie </w:t>
            </w:r>
            <w:r w:rsidRPr="00D8666B">
              <w:rPr>
                <w:rFonts w:ascii="Arial" w:hAnsi="Arial" w:cs="Arial"/>
              </w:rPr>
              <w:lastRenderedPageBreak/>
              <w:t>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867116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4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4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867116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704" w:type="dxa"/>
            <w:gridSpan w:val="11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C329F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3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podnoszące kompetencje dydaktyczne kadr uczelni w zakresie innowacyjnych umiejętności dydaktycznych, umiejętności informatycznych, w tym posługiwania się profesjonalnymi bazami danych i </w:t>
            </w:r>
            <w:r w:rsidRPr="00D8666B">
              <w:rPr>
                <w:rFonts w:ascii="Arial" w:hAnsi="Arial" w:cs="Arial"/>
              </w:rPr>
              <w:lastRenderedPageBreak/>
              <w:t>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867116">
        <w:trPr>
          <w:trHeight w:val="280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marzec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 Deinstytucjonalizacja usług świadczonych na rzecz osób z zaburzeniami i chorobami psychicznymi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40 000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0B7C4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maj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około 4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80 000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0B7C4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867116" w:rsidRDefault="00AB4800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sierpień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BD2987" w:rsidRDefault="00AB4800" w:rsidP="00BD2987">
            <w:pPr>
              <w:spacing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Środowiskowy system wsparcia </w:t>
            </w:r>
            <w:r w:rsidRPr="00BD2987">
              <w:rPr>
                <w:rFonts w:ascii="Arial" w:hAnsi="Arial" w:cs="Arial"/>
              </w:rPr>
              <w:lastRenderedPageBreak/>
              <w:t>w planowaniu przyszłości osób dorosłych z niepełnosprawnością intelektualną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0B7C4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867116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4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październik </w:t>
            </w:r>
            <w:r w:rsidR="006D7EE5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402" w:type="dxa"/>
          </w:tcPr>
          <w:p w:rsidR="006D7EE5" w:rsidRPr="00BD2987" w:rsidRDefault="006D7EE5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 w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24 000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0B7C4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4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0B7C41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867116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704" w:type="dxa"/>
            <w:gridSpan w:val="11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1782" w:type="dxa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827" w:type="dxa"/>
            <w:gridSpan w:val="4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2126" w:type="dxa"/>
            <w:gridSpan w:val="3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0B7C41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867116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1782" w:type="dxa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827" w:type="dxa"/>
            <w:gridSpan w:val="4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2126" w:type="dxa"/>
            <w:gridSpan w:val="3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0B7C41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867116">
        <w:trPr>
          <w:trHeight w:val="280"/>
        </w:trPr>
        <w:tc>
          <w:tcPr>
            <w:tcW w:w="14283" w:type="dxa"/>
            <w:gridSpan w:val="13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178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0B7C4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178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0B7C4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</w:t>
            </w:r>
            <w:r w:rsidRPr="00BD2987">
              <w:rPr>
                <w:rFonts w:ascii="Arial" w:hAnsi="Arial" w:cs="Arial"/>
              </w:rPr>
              <w:lastRenderedPageBreak/>
              <w:t xml:space="preserve">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0B7C4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</w:t>
            </w:r>
            <w:r w:rsidRPr="00D8666B">
              <w:rPr>
                <w:rFonts w:ascii="Arial" w:hAnsi="Arial" w:cs="Arial"/>
              </w:rPr>
              <w:lastRenderedPageBreak/>
              <w:t xml:space="preserve">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867116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969" w:type="dxa"/>
            <w:gridSpan w:val="5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82" w:type="dxa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969" w:type="dxa"/>
            <w:gridSpan w:val="5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0B7C4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Centrów Symulacji 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969" w:type="dxa"/>
            <w:gridSpan w:val="5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867116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178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969" w:type="dxa"/>
            <w:gridSpan w:val="5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0B7C4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0D" w:rsidRDefault="0011230D" w:rsidP="00946CD5">
      <w:pPr>
        <w:spacing w:after="0" w:line="240" w:lineRule="auto"/>
      </w:pPr>
      <w:r>
        <w:separator/>
      </w:r>
    </w:p>
  </w:endnote>
  <w:endnote w:type="continuationSeparator" w:id="0">
    <w:p w:rsidR="0011230D" w:rsidRDefault="0011230D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0D" w:rsidRDefault="0011230D" w:rsidP="00946CD5">
      <w:pPr>
        <w:spacing w:after="0" w:line="240" w:lineRule="auto"/>
      </w:pPr>
      <w:r>
        <w:separator/>
      </w:r>
    </w:p>
  </w:footnote>
  <w:footnote w:type="continuationSeparator" w:id="0">
    <w:p w:rsidR="0011230D" w:rsidRDefault="0011230D" w:rsidP="00946CD5">
      <w:pPr>
        <w:spacing w:after="0" w:line="240" w:lineRule="auto"/>
      </w:pPr>
      <w:r>
        <w:continuationSeparator/>
      </w:r>
    </w:p>
  </w:footnote>
  <w:footnote w:id="1">
    <w:p w:rsidR="0011230D" w:rsidRPr="000017C1" w:rsidRDefault="0011230D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11230D" w:rsidRPr="00ED2E5F" w:rsidRDefault="0011230D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11230D" w:rsidRDefault="001123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11230D" w:rsidRDefault="0011230D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11230D" w:rsidRPr="00A06548" w:rsidRDefault="0011230D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11230D" w:rsidRPr="00A06548" w:rsidRDefault="0011230D" w:rsidP="009506FB">
      <w:pPr>
        <w:pStyle w:val="Tekstprzypisudolnego"/>
      </w:pPr>
    </w:p>
  </w:footnote>
  <w:footnote w:id="5">
    <w:p w:rsidR="0011230D" w:rsidRDefault="0011230D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0D" w:rsidRPr="009A2278" w:rsidRDefault="0011230D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8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4"/>
  </w:num>
  <w:num w:numId="4">
    <w:abstractNumId w:val="21"/>
  </w:num>
  <w:num w:numId="5">
    <w:abstractNumId w:val="1"/>
  </w:num>
  <w:num w:numId="6">
    <w:abstractNumId w:val="7"/>
  </w:num>
  <w:num w:numId="7">
    <w:abstractNumId w:val="24"/>
  </w:num>
  <w:num w:numId="8">
    <w:abstractNumId w:val="23"/>
  </w:num>
  <w:num w:numId="9">
    <w:abstractNumId w:val="0"/>
  </w:num>
  <w:num w:numId="10">
    <w:abstractNumId w:val="28"/>
  </w:num>
  <w:num w:numId="11">
    <w:abstractNumId w:val="12"/>
  </w:num>
  <w:num w:numId="12">
    <w:abstractNumId w:val="11"/>
  </w:num>
  <w:num w:numId="13">
    <w:abstractNumId w:val="8"/>
  </w:num>
  <w:num w:numId="14">
    <w:abstractNumId w:val="30"/>
  </w:num>
  <w:num w:numId="15">
    <w:abstractNumId w:val="22"/>
  </w:num>
  <w:num w:numId="16">
    <w:abstractNumId w:val="4"/>
  </w:num>
  <w:num w:numId="17">
    <w:abstractNumId w:val="29"/>
  </w:num>
  <w:num w:numId="18">
    <w:abstractNumId w:val="15"/>
  </w:num>
  <w:num w:numId="19">
    <w:abstractNumId w:val="34"/>
  </w:num>
  <w:num w:numId="20">
    <w:abstractNumId w:val="10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31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8"/>
  </w:num>
  <w:num w:numId="35">
    <w:abstractNumId w:val="27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549A2"/>
    <w:rsid w:val="000B7C41"/>
    <w:rsid w:val="000D150D"/>
    <w:rsid w:val="000E68E7"/>
    <w:rsid w:val="0010681F"/>
    <w:rsid w:val="0011230D"/>
    <w:rsid w:val="00116585"/>
    <w:rsid w:val="00124022"/>
    <w:rsid w:val="00192E52"/>
    <w:rsid w:val="001C23C4"/>
    <w:rsid w:val="001D24B6"/>
    <w:rsid w:val="002114A2"/>
    <w:rsid w:val="002B19D6"/>
    <w:rsid w:val="002C40A7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70CE"/>
    <w:rsid w:val="004373B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D100A"/>
    <w:rsid w:val="006D31A9"/>
    <w:rsid w:val="006D7EE5"/>
    <w:rsid w:val="0073783A"/>
    <w:rsid w:val="0073788E"/>
    <w:rsid w:val="00771DA4"/>
    <w:rsid w:val="007D7D70"/>
    <w:rsid w:val="007F3261"/>
    <w:rsid w:val="00861CFB"/>
    <w:rsid w:val="00867116"/>
    <w:rsid w:val="008A7B09"/>
    <w:rsid w:val="008B1320"/>
    <w:rsid w:val="008C329F"/>
    <w:rsid w:val="008C7901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20696"/>
    <w:rsid w:val="00C30B92"/>
    <w:rsid w:val="00C338BD"/>
    <w:rsid w:val="00C5460F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71B96"/>
    <w:rsid w:val="00E95FF5"/>
    <w:rsid w:val="00EA04C5"/>
    <w:rsid w:val="00EC2281"/>
    <w:rsid w:val="00EC519B"/>
    <w:rsid w:val="00ED2E5F"/>
    <w:rsid w:val="00ED4BB2"/>
    <w:rsid w:val="00F0351B"/>
    <w:rsid w:val="00F21F4C"/>
    <w:rsid w:val="00F3402E"/>
    <w:rsid w:val="00F635A8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www.wup.kielce.pl" TargetMode="External"/><Relationship Id="rId18" Type="http://schemas.openxmlformats.org/officeDocument/2006/relationships/hyperlink" Target="wupzielonagora.praca.gov.pl" TargetMode="External"/><Relationship Id="rId26" Type="http://schemas.openxmlformats.org/officeDocument/2006/relationships/hyperlink" Target="efs.mrpips.gov.pl" TargetMode="External"/><Relationship Id="rId39" Type="http://schemas.openxmlformats.org/officeDocument/2006/relationships/hyperlink" Target="efs.men.gov.pl" TargetMode="External"/><Relationship Id="rId21" Type="http://schemas.openxmlformats.org/officeDocument/2006/relationships/hyperlink" Target="efs.mrpips.gov.pl" TargetMode="External"/><Relationship Id="rId34" Type="http://schemas.openxmlformats.org/officeDocument/2006/relationships/hyperlink" Target="efs.mrpips.gov.pl" TargetMode="External"/><Relationship Id="rId42" Type="http://schemas.openxmlformats.org/officeDocument/2006/relationships/hyperlink" Target="efs.men.gov.pl" TargetMode="External"/><Relationship Id="rId47" Type="http://schemas.openxmlformats.org/officeDocument/2006/relationships/hyperlink" Target="www.ms.gov.pl" TargetMode="External"/><Relationship Id="rId50" Type="http://schemas.openxmlformats.org/officeDocument/2006/relationships/hyperlink" Target="www.power.gov.pl" TargetMode="External"/><Relationship Id="rId55" Type="http://schemas.openxmlformats.org/officeDocument/2006/relationships/hyperlink" Target="www.ncbir.pl" TargetMode="External"/><Relationship Id="rId63" Type="http://schemas.openxmlformats.org/officeDocument/2006/relationships/hyperlink" Target="www.cpe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www.zdrowie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wuprzeszow.praca.gov.pl" TargetMode="External"/><Relationship Id="rId29" Type="http://schemas.openxmlformats.org/officeDocument/2006/relationships/hyperlink" Target="efs.mrpips.gov.pl" TargetMode="External"/><Relationship Id="rId11" Type="http://schemas.openxmlformats.org/officeDocument/2006/relationships/hyperlink" Target="www.wup.gdansk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efs.mrpips.gov.pl" TargetMode="External"/><Relationship Id="rId37" Type="http://schemas.openxmlformats.org/officeDocument/2006/relationships/hyperlink" Target="efs.men.gov.pl" TargetMode="External"/><Relationship Id="rId40" Type="http://schemas.openxmlformats.org/officeDocument/2006/relationships/hyperlink" Target="efs.men.gov.pl" TargetMode="External"/><Relationship Id="rId45" Type="http://schemas.openxmlformats.org/officeDocument/2006/relationships/hyperlink" Target="www.ms.gov.pl" TargetMode="External"/><Relationship Id="rId53" Type="http://schemas.openxmlformats.org/officeDocument/2006/relationships/hyperlink" Target="www.ncbir.pl" TargetMode="External"/><Relationship Id="rId58" Type="http://schemas.openxmlformats.org/officeDocument/2006/relationships/hyperlink" Target="www.power.gov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www.power.gov.pl" TargetMode="Externa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wup.torun.pl" TargetMode="External"/><Relationship Id="rId31" Type="http://schemas.openxmlformats.org/officeDocument/2006/relationships/hyperlink" Target="efs.mrpips.gov.pl" TargetMode="External"/><Relationship Id="rId44" Type="http://schemas.openxmlformats.org/officeDocument/2006/relationships/hyperlink" Target="www.ms.gov.pl" TargetMode="External"/><Relationship Id="rId52" Type="http://schemas.openxmlformats.org/officeDocument/2006/relationships/hyperlink" Target="www.ncbir.pl" TargetMode="External"/><Relationship Id="rId60" Type="http://schemas.openxmlformats.org/officeDocument/2006/relationships/hyperlink" Target="www.power.gov.pl" TargetMode="External"/><Relationship Id="rId65" Type="http://schemas.openxmlformats.org/officeDocument/2006/relationships/hyperlink" Target="www.zdrowi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wuplodz.praca.gov.pl" TargetMode="External"/><Relationship Id="rId22" Type="http://schemas.openxmlformats.org/officeDocument/2006/relationships/hyperlink" Target="efs.mrpips.gov.pl" TargetMode="External"/><Relationship Id="rId27" Type="http://schemas.openxmlformats.org/officeDocument/2006/relationships/hyperlink" Target="efs.mrpips.gov.pl" TargetMode="External"/><Relationship Id="rId30" Type="http://schemas.openxmlformats.org/officeDocument/2006/relationships/hyperlink" Target="efs.mrpips.gov.pl" TargetMode="External"/><Relationship Id="rId35" Type="http://schemas.openxmlformats.org/officeDocument/2006/relationships/hyperlink" Target="efs.mrpips.gov.pl" TargetMode="External"/><Relationship Id="rId43" Type="http://schemas.openxmlformats.org/officeDocument/2006/relationships/hyperlink" Target="efs.kprm.gov.pl/po-wer" TargetMode="External"/><Relationship Id="rId48" Type="http://schemas.openxmlformats.org/officeDocument/2006/relationships/hyperlink" Target="ip.mswia.gov.pl" TargetMode="External"/><Relationship Id="rId56" Type="http://schemas.openxmlformats.org/officeDocument/2006/relationships/hyperlink" Target="www.ncbir.pl" TargetMode="External"/><Relationship Id="rId64" Type="http://schemas.openxmlformats.org/officeDocument/2006/relationships/hyperlink" Target="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www.ncbir.pl" TargetMode="External"/><Relationship Id="rId72" Type="http://schemas.openxmlformats.org/officeDocument/2006/relationships/hyperlink" Target="file:///\\Tango\DZF\PO%20WER\Promocja\Harmonogramy\2017_Harmonogram\www.zdrowie.gov.pl" TargetMode="External"/><Relationship Id="rId3" Type="http://schemas.openxmlformats.org/officeDocument/2006/relationships/styles" Target="styles.xml"/><Relationship Id="rId12" Type="http://schemas.openxmlformats.org/officeDocument/2006/relationships/hyperlink" Target="efs.wup-katowice.pl" TargetMode="External"/><Relationship Id="rId17" Type="http://schemas.openxmlformats.org/officeDocument/2006/relationships/hyperlink" Target="www.wup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efs.mrpips.gov.pl" TargetMode="External"/><Relationship Id="rId38" Type="http://schemas.openxmlformats.org/officeDocument/2006/relationships/hyperlink" Target="efs.men.gov.pl" TargetMode="External"/><Relationship Id="rId46" Type="http://schemas.openxmlformats.org/officeDocument/2006/relationships/hyperlink" Target="www.ms.gov.pl" TargetMode="External"/><Relationship Id="rId59" Type="http://schemas.openxmlformats.org/officeDocument/2006/relationships/hyperlink" Target="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efs.mrpips.gov.pl" TargetMode="External"/><Relationship Id="rId41" Type="http://schemas.openxmlformats.org/officeDocument/2006/relationships/hyperlink" Target="efs.men.gov.pl" TargetMode="External"/><Relationship Id="rId54" Type="http://schemas.openxmlformats.org/officeDocument/2006/relationships/hyperlink" Target="www.ncbir.pl" TargetMode="External"/><Relationship Id="rId62" Type="http://schemas.openxmlformats.org/officeDocument/2006/relationships/hyperlink" Target="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wupopole.praca.gov.pl" TargetMode="External"/><Relationship Id="rId23" Type="http://schemas.openxmlformats.org/officeDocument/2006/relationships/hyperlink" Target="http://www.parp.gov.pl/index/main/" TargetMode="External"/><Relationship Id="rId28" Type="http://schemas.openxmlformats.org/officeDocument/2006/relationships/hyperlink" Target="efs.mrpips.gov.pl" TargetMode="External"/><Relationship Id="rId36" Type="http://schemas.openxmlformats.org/officeDocument/2006/relationships/hyperlink" Target="efs.mrpips.gov.pl" TargetMode="External"/><Relationship Id="rId49" Type="http://schemas.openxmlformats.org/officeDocument/2006/relationships/hyperlink" Target="www.power.gov.pl" TargetMode="External"/><Relationship Id="rId57" Type="http://schemas.openxmlformats.org/officeDocument/2006/relationships/hyperlink" Target="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A06A-BEFA-45F7-B6C5-4EB53693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52</Pages>
  <Words>8946</Words>
  <Characters>53679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4</cp:revision>
  <cp:lastPrinted>2016-11-30T11:23:00Z</cp:lastPrinted>
  <dcterms:created xsi:type="dcterms:W3CDTF">2016-11-30T10:18:00Z</dcterms:created>
  <dcterms:modified xsi:type="dcterms:W3CDTF">2016-11-30T11:24:00Z</dcterms:modified>
</cp:coreProperties>
</file>