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bookmarkStart w:id="0" w:name="_GoBack"/>
      <w:bookmarkEnd w:id="0"/>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3D" w:rsidRDefault="00CA773D" w:rsidP="00FE2590">
      <w:r>
        <w:separator/>
      </w:r>
    </w:p>
  </w:endnote>
  <w:endnote w:type="continuationSeparator" w:id="0">
    <w:p w:rsidR="00CA773D" w:rsidRDefault="00CA773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4566D7" w:rsidRDefault="005439B8">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A95CE6">
      <w:rPr>
        <w:rFonts w:ascii="Calibri" w:hAnsi="Calibri"/>
        <w:noProof/>
        <w:sz w:val="20"/>
        <w:szCs w:val="20"/>
      </w:rPr>
      <w:t>39</w:t>
    </w:r>
    <w:r w:rsidRPr="004566D7">
      <w:rPr>
        <w:rFonts w:ascii="Calibri" w:hAnsi="Calibri"/>
        <w:sz w:val="20"/>
        <w:szCs w:val="20"/>
      </w:rPr>
      <w:fldChar w:fldCharType="end"/>
    </w:r>
  </w:p>
  <w:p w:rsidR="00CA773D" w:rsidRDefault="00CA773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Pr="00D42C8B" w:rsidRDefault="005439B8">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A95CE6">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3D" w:rsidRDefault="00CA773D" w:rsidP="00FE2590">
      <w:r>
        <w:separator/>
      </w:r>
    </w:p>
  </w:footnote>
  <w:footnote w:type="continuationSeparator" w:id="0">
    <w:p w:rsidR="00CA773D" w:rsidRDefault="00CA773D"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E6" w:rsidRPr="00A95CE6" w:rsidRDefault="00A95CE6">
    <w:pPr>
      <w:pStyle w:val="Nagwek"/>
      <w:rPr>
        <w:rFonts w:ascii="Calibri" w:eastAsia="Times New Roman" w:hAnsi="Calibri"/>
        <w:b/>
        <w:bCs/>
        <w:kern w:val="32"/>
        <w:sz w:val="22"/>
        <w:szCs w:val="22"/>
      </w:rPr>
    </w:pPr>
    <w:r>
      <w:rPr>
        <w:rFonts w:ascii="Calibri" w:eastAsia="Times New Roman" w:hAnsi="Calibri"/>
        <w:b/>
        <w:bCs/>
        <w:kern w:val="32"/>
        <w:sz w:val="22"/>
        <w:szCs w:val="22"/>
      </w:rPr>
      <w:t xml:space="preserve">Załącznik nr 6a do Regulaminu - </w:t>
    </w: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w:t>
    </w:r>
    <w:r>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439B8"/>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95CE6"/>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D0A22-6898-4777-8C41-AD55F9C3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12644</Words>
  <Characters>75868</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jhikj</cp:lastModifiedBy>
  <cp:revision>5</cp:revision>
  <cp:lastPrinted>2016-09-13T10:07:00Z</cp:lastPrinted>
  <dcterms:created xsi:type="dcterms:W3CDTF">2016-09-13T11:53:00Z</dcterms:created>
  <dcterms:modified xsi:type="dcterms:W3CDTF">2016-10-26T08:59:00Z</dcterms:modified>
</cp:coreProperties>
</file>