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AA" w:rsidRPr="00E472AA" w:rsidRDefault="00E472AA" w:rsidP="00E472A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72057" w:rsidRPr="00E472AA" w:rsidRDefault="00372057" w:rsidP="008A211D">
      <w:pPr>
        <w:pStyle w:val="Nagwek3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  <w:r w:rsidRPr="00E472AA">
        <w:rPr>
          <w:rFonts w:asciiTheme="minorHAnsi" w:hAnsiTheme="minorHAnsi"/>
          <w:sz w:val="24"/>
          <w:szCs w:val="24"/>
        </w:rPr>
        <w:t xml:space="preserve">Czy aglomeracja, która nie widnieje w III Aktualizacji KPOŚK (będącej załącznikiem do dokumentacji konkursowej), ale widniejąca w IV Aktualizacji będącej w trakcie opracowywania, jest podmiotem uprawnionym do aplikowania w ogłoszonym konkursie? </w:t>
      </w:r>
    </w:p>
    <w:p w:rsidR="00372057" w:rsidRPr="00E472AA" w:rsidRDefault="00372057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>III Aktualizacja  KPOŚK obowiązywała w dniu ogłoszenia konkursu, zatem z tą wersją będzie sprawdzane spełnienie kryterium formalnego - aglomeracje, które nie znajdują się w III AKPOŚK nie będą spełniały tego kryterium.</w:t>
      </w:r>
    </w:p>
    <w:p w:rsidR="00372057" w:rsidRDefault="00372057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>Przewidywane są kolejne konkursy w Działaniu 4.3, ponieważ alokacja I konkursu nie wyczerpuje całej alokacji dla działania.</w:t>
      </w:r>
    </w:p>
    <w:p w:rsidR="00E472AA" w:rsidRP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A211D" w:rsidRDefault="008A211D" w:rsidP="008A211D">
      <w:pPr>
        <w:pStyle w:val="Nagwek3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</w:p>
    <w:p w:rsidR="00372057" w:rsidRPr="00E472AA" w:rsidRDefault="00372057" w:rsidP="008A211D">
      <w:pPr>
        <w:pStyle w:val="Nagwek3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  <w:r w:rsidRPr="00E472AA">
        <w:rPr>
          <w:rFonts w:asciiTheme="minorHAnsi" w:hAnsiTheme="minorHAnsi"/>
          <w:sz w:val="24"/>
          <w:szCs w:val="24"/>
        </w:rPr>
        <w:t>Czy wskaźnik koncentracji dla aglomeracji należy także wyliczyć dla projektu obejmującego tylko modernizację oczyszczalni w danej aglomeracji (w projekcie nie jest realizowana rozbudowa sieci kanalizacyjnej)?</w:t>
      </w:r>
    </w:p>
    <w:p w:rsidR="00372057" w:rsidRDefault="00372057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7B5289">
        <w:rPr>
          <w:rFonts w:asciiTheme="minorHAnsi" w:hAnsiTheme="minorHAnsi"/>
          <w:u w:val="single"/>
        </w:rPr>
        <w:t>Wskaźnik koncentracji aglomeracji należy wyliczyć tylko dla projektów, w ramach których budowana będzie sieć kanalizacji sanitarnej</w:t>
      </w:r>
      <w:r w:rsidR="007B5289">
        <w:rPr>
          <w:rFonts w:asciiTheme="minorHAnsi" w:hAnsiTheme="minorHAnsi"/>
        </w:rPr>
        <w:t xml:space="preserve"> </w:t>
      </w:r>
    </w:p>
    <w:p w:rsidR="00E472AA" w:rsidRPr="00E472AA" w:rsidRDefault="00E472AA" w:rsidP="00E472A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8A211D" w:rsidRDefault="008A211D" w:rsidP="00E472AA">
      <w:pPr>
        <w:pStyle w:val="Nagwek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E472AA" w:rsidRPr="00E472AA" w:rsidRDefault="00E472AA" w:rsidP="00E472AA">
      <w:pPr>
        <w:pStyle w:val="Nagwek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E472AA">
        <w:rPr>
          <w:rFonts w:asciiTheme="minorHAnsi" w:hAnsiTheme="minorHAnsi"/>
          <w:sz w:val="24"/>
          <w:szCs w:val="24"/>
        </w:rPr>
        <w:t xml:space="preserve">W jaki sposób uwzględnić podłączane obiekty typu szkoły, przedszkola? </w:t>
      </w:r>
    </w:p>
    <w:p w:rsid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>W planowanej liczbie mieszkańców, którzy będą korzystali z planowanej do budowy w ramach projektu sieci kanalizacyjnej należy uwzględnić tylko stałych mieszkańców oraz osoby czasowo przebywające na terenie aglomeracji - w liczbie tej nie uwzględnia się projektowanych obiektów generujących ścieki przemysłowe oraz obiektów typu szkoła, przedszkole. </w:t>
      </w:r>
    </w:p>
    <w:p w:rsidR="00E472AA" w:rsidRP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472AA" w:rsidRPr="00E472AA" w:rsidRDefault="00E472AA" w:rsidP="008A211D">
      <w:pPr>
        <w:pStyle w:val="Nagwek3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  <w:r w:rsidRPr="00E472AA">
        <w:rPr>
          <w:rFonts w:asciiTheme="minorHAnsi" w:hAnsiTheme="minorHAnsi"/>
          <w:sz w:val="24"/>
          <w:szCs w:val="24"/>
        </w:rPr>
        <w:t xml:space="preserve"> Czy położenie terenu kanalizowanego w granicach obszaru chronionego krajobrazu upoważnia do przyjęcia na tym terenie wskaźnika koncentracji 90 Mk/km?</w:t>
      </w:r>
    </w:p>
    <w:p w:rsidR="00E472AA" w:rsidRP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>Zgodnie z Art. 6 ust. 1 ustawy z dnia 16 kwietnia 2004 r. z póź. zm. (Dz. U. z 2013 r. poz. 627, z późn. zm.) o ochronie przyrody, do której odnosi się przywołane rozporządzenie, formami ochrony przyrody są:</w:t>
      </w:r>
    </w:p>
    <w:p w:rsidR="00E472AA" w:rsidRP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>1)   parki narodowe;</w:t>
      </w:r>
    </w:p>
    <w:p w:rsidR="00E472AA" w:rsidRP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>2)   rezerwaty przyrody;</w:t>
      </w:r>
    </w:p>
    <w:p w:rsidR="00E472AA" w:rsidRP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>3)   parki krajobrazowe;</w:t>
      </w:r>
    </w:p>
    <w:p w:rsidR="00E472AA" w:rsidRP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>4)   obszary chronionego krajobrazu;</w:t>
      </w:r>
    </w:p>
    <w:p w:rsidR="00E472AA" w:rsidRP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>5)   obszary Natura 2000;</w:t>
      </w:r>
    </w:p>
    <w:p w:rsidR="00E472AA" w:rsidRP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>6)   pomniki przyrody;</w:t>
      </w:r>
    </w:p>
    <w:p w:rsidR="00E472AA" w:rsidRP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>7)   stanowiska dokumentacyjne;</w:t>
      </w:r>
    </w:p>
    <w:p w:rsidR="00E472AA" w:rsidRP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>8)   użytki ekologiczne;</w:t>
      </w:r>
    </w:p>
    <w:p w:rsidR="00E472AA" w:rsidRP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>9)   zespoły przyrodniczo-krajobrazowe;</w:t>
      </w:r>
    </w:p>
    <w:p w:rsidR="00E472AA" w:rsidRP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>10)  ochrona gatunkowa roślin, zwierząt i grzybów.</w:t>
      </w:r>
    </w:p>
    <w:p w:rsid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472AA">
        <w:rPr>
          <w:rFonts w:asciiTheme="minorHAnsi" w:hAnsiTheme="minorHAnsi"/>
        </w:rPr>
        <w:t xml:space="preserve">Wobec powyższego położenie terenu kanalizowanego w granicach  obszaru chronionego krajobrazu wyczerpuje przepis §3 pkt. 5 ppkt. 4) Rozporządzenia Ministra Środowiska z dnia 22 lipca 2014 r. </w:t>
      </w:r>
      <w:r w:rsidRPr="00E472AA">
        <w:rPr>
          <w:rStyle w:val="Uwydatnienie"/>
          <w:rFonts w:asciiTheme="minorHAnsi" w:hAnsiTheme="minorHAnsi"/>
        </w:rPr>
        <w:t>w sprawie sposobu wyznaczania obszaru i granic aglomeracji</w:t>
      </w:r>
      <w:r w:rsidRPr="00E472AA">
        <w:rPr>
          <w:rFonts w:asciiTheme="minorHAnsi" w:hAnsiTheme="minorHAnsi"/>
        </w:rPr>
        <w:t xml:space="preserve"> i upoważnia do przyjęcia na tym terenie wskaźnika koncentracji minimum 90 mieszkańców na 1 km sieci kanalizacyjnej.</w:t>
      </w:r>
    </w:p>
    <w:p w:rsidR="00E472AA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407CF" w:rsidRDefault="006407CF" w:rsidP="00E472A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6407CF" w:rsidRDefault="006407CF" w:rsidP="00E472A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6407CF" w:rsidRPr="00E472AA" w:rsidRDefault="006407CF" w:rsidP="00E472AA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E472AA" w:rsidRPr="006407CF" w:rsidRDefault="00E472AA" w:rsidP="008A211D">
      <w:pPr>
        <w:pStyle w:val="Nagwek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407CF">
        <w:rPr>
          <w:rFonts w:asciiTheme="minorHAnsi" w:hAnsiTheme="minorHAnsi"/>
          <w:sz w:val="22"/>
          <w:szCs w:val="22"/>
        </w:rPr>
        <w:t>Czy jeśli zakres objęty projektem obejmuje m.in. wymianę kanalizacji sanitarnej na nową, na potrzeby wyliczenia wartości wskaźnika koncentracji osoby zamieszkujące na tym obszarze i objęte projektem należy traktować jako nowo podłączone?</w:t>
      </w:r>
    </w:p>
    <w:p w:rsidR="007B5289" w:rsidRPr="006407CF" w:rsidRDefault="007B5289" w:rsidP="00E472AA">
      <w:pPr>
        <w:pStyle w:val="Nagwek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472AA" w:rsidRPr="006407CF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6407CF">
        <w:rPr>
          <w:rFonts w:asciiTheme="minorHAnsi" w:hAnsiTheme="minorHAnsi"/>
          <w:sz w:val="22"/>
          <w:szCs w:val="22"/>
          <w:u w:val="single"/>
        </w:rPr>
        <w:t>Wskaźnik koncentracji aglomeracji wyliczany jest wyłącznie w przypadku, gdy projektem objęta jest budowa nowych odcinków kanalizacji.</w:t>
      </w:r>
    </w:p>
    <w:p w:rsidR="00E472AA" w:rsidRPr="006407CF" w:rsidRDefault="00E472AA" w:rsidP="008A211D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407CF">
        <w:t>Osoby już korzystające z podłączeń kanalizacyjnych nie mogą być traktowane jako nowo podłączone Mk plan, powinny natomiast zostać uwzględnione przy ustalaniu wielkości Mk istn</w:t>
      </w:r>
      <w:r w:rsidR="006407CF" w:rsidRPr="006407CF">
        <w:t xml:space="preserve">, </w:t>
      </w:r>
      <w:r w:rsidRPr="006407CF">
        <w:t>podobnie długość wymienianej kanalizacji będzie uwzględniona w wielkości L ist, a nie L plan.</w:t>
      </w:r>
      <w:r w:rsidR="006407CF" w:rsidRPr="006407CF">
        <w:t xml:space="preserve"> </w:t>
      </w:r>
      <w:r w:rsidR="006407CF" w:rsidRPr="006407CF">
        <w:rPr>
          <w:i/>
          <w:sz w:val="20"/>
          <w:szCs w:val="20"/>
        </w:rPr>
        <w:t xml:space="preserve">( Obliczeń należy dokonać np. metodologii </w:t>
      </w:r>
      <w:r w:rsidR="006407CF" w:rsidRPr="006407CF">
        <w:rPr>
          <w:rFonts w:cs="Arial"/>
          <w:i/>
          <w:sz w:val="20"/>
          <w:szCs w:val="20"/>
          <w:u w:val="single"/>
        </w:rPr>
        <w:t>Obliczania wskaźnika koncentracji aglomeracji</w:t>
      </w:r>
      <w:r w:rsidR="006407CF" w:rsidRPr="006407CF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6407CF">
        <w:rPr>
          <w:rFonts w:eastAsia="Times New Roman" w:cs="Times New Roman"/>
          <w:i/>
          <w:sz w:val="20"/>
          <w:szCs w:val="20"/>
          <w:lang w:eastAsia="pl-PL"/>
        </w:rPr>
        <w:t xml:space="preserve"> dostępnej w załączeniu do konkursu </w:t>
      </w:r>
      <w:r w:rsidR="006407CF" w:rsidRPr="006407CF">
        <w:rPr>
          <w:rFonts w:eastAsia="Times New Roman" w:cs="Times New Roman"/>
          <w:i/>
          <w:sz w:val="20"/>
          <w:szCs w:val="20"/>
          <w:lang w:eastAsia="pl-PL"/>
        </w:rPr>
        <w:t xml:space="preserve">) </w:t>
      </w:r>
    </w:p>
    <w:p w:rsidR="00E472AA" w:rsidRPr="006407CF" w:rsidRDefault="00E472AA" w:rsidP="008A211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407CF">
        <w:rPr>
          <w:rFonts w:asciiTheme="minorHAnsi" w:hAnsiTheme="minorHAnsi"/>
          <w:sz w:val="22"/>
          <w:szCs w:val="22"/>
        </w:rPr>
        <w:t>Jeśli natomiast, po modernizacji/wymianie odcinka kanalizacji okaże się, że pojawiły się nowe obiekty (osoby) możliwe do podłączenia do sieci kanalizacji sanitarnej, będą one mogły zostać uwzględnione w Mk plan oraz równocześnie wliczone do deklarowanej wartości wskaźnika rezultatu.</w:t>
      </w:r>
    </w:p>
    <w:p w:rsidR="00372057" w:rsidRPr="006407CF" w:rsidRDefault="00372057" w:rsidP="00E472AA">
      <w:pPr>
        <w:spacing w:after="0" w:line="240" w:lineRule="auto"/>
        <w:rPr>
          <w:rFonts w:eastAsia="Times New Roman" w:cs="Times New Roman"/>
          <w:lang w:eastAsia="pl-PL"/>
        </w:rPr>
      </w:pPr>
    </w:p>
    <w:p w:rsidR="00372057" w:rsidRPr="006407CF" w:rsidRDefault="00372057" w:rsidP="00E472AA">
      <w:pPr>
        <w:spacing w:after="0" w:line="240" w:lineRule="auto"/>
        <w:rPr>
          <w:rFonts w:eastAsia="Times New Roman" w:cs="Times New Roman"/>
          <w:lang w:eastAsia="pl-PL"/>
        </w:rPr>
      </w:pPr>
    </w:p>
    <w:p w:rsidR="00097513" w:rsidRPr="00097513" w:rsidRDefault="00097513" w:rsidP="008A211D">
      <w:pPr>
        <w:pStyle w:val="Nagwek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97513">
        <w:rPr>
          <w:rFonts w:asciiTheme="minorHAnsi" w:hAnsiTheme="minorHAnsi"/>
          <w:sz w:val="22"/>
          <w:szCs w:val="22"/>
        </w:rPr>
        <w:t xml:space="preserve">Czy można realizować projekt w którym współczynnik koncentracji jest zachowany </w:t>
      </w:r>
      <w:r w:rsidRPr="00097513">
        <w:rPr>
          <w:rFonts w:asciiTheme="minorHAnsi" w:hAnsiTheme="minorHAnsi"/>
          <w:sz w:val="22"/>
          <w:szCs w:val="22"/>
        </w:rPr>
        <w:br/>
        <w:t xml:space="preserve">w odcinku zabudowanym, a dalszy odcinek potraktować jako  tranzytowy i ująć go </w:t>
      </w:r>
      <w:r w:rsidRPr="00097513">
        <w:rPr>
          <w:rFonts w:asciiTheme="minorHAnsi" w:hAnsiTheme="minorHAnsi"/>
          <w:sz w:val="22"/>
          <w:szCs w:val="22"/>
        </w:rPr>
        <w:br/>
        <w:t xml:space="preserve">w kosztach niekwalifikowanych projektu? </w:t>
      </w:r>
    </w:p>
    <w:p w:rsidR="00097513" w:rsidRDefault="00097513" w:rsidP="00097513">
      <w:pPr>
        <w:pStyle w:val="Nagwek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97513" w:rsidRPr="00F700DA" w:rsidRDefault="00097513" w:rsidP="008A211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F700DA">
        <w:rPr>
          <w:sz w:val="24"/>
          <w:szCs w:val="24"/>
        </w:rPr>
        <w:t xml:space="preserve">Zgodnie z </w:t>
      </w:r>
      <w:r w:rsidRPr="00F700DA">
        <w:rPr>
          <w:rFonts w:cs="TimesNewRomanPS-BoldMT"/>
          <w:bCs/>
          <w:sz w:val="24"/>
          <w:szCs w:val="24"/>
        </w:rPr>
        <w:t xml:space="preserve">Rozporządzeniem MINISTRA ŚRODOWISKA </w:t>
      </w:r>
      <w:r w:rsidRPr="00F700DA">
        <w:rPr>
          <w:rFonts w:cs="TimesNewRomanPSMT"/>
          <w:sz w:val="24"/>
          <w:szCs w:val="24"/>
        </w:rPr>
        <w:t xml:space="preserve">z dnia 22 lipca 2014 r. </w:t>
      </w:r>
      <w:r w:rsidRPr="00F700DA">
        <w:rPr>
          <w:rFonts w:cs="TimesNewRomanPS-BoldMT"/>
          <w:bCs/>
          <w:sz w:val="24"/>
          <w:szCs w:val="24"/>
        </w:rPr>
        <w:t>w sprawie sposobu wyznaczania obszaru i granic aglomeracji</w:t>
      </w:r>
      <w:r w:rsidRPr="00F700DA">
        <w:rPr>
          <w:rFonts w:cs="TimesNewRomanPSMT"/>
          <w:sz w:val="24"/>
          <w:szCs w:val="24"/>
        </w:rPr>
        <w:t xml:space="preserve"> </w:t>
      </w:r>
      <w:r w:rsidRPr="00F700DA">
        <w:rPr>
          <w:rFonts w:cs="TimesNewRomanPS-BoldMT"/>
          <w:bCs/>
          <w:sz w:val="24"/>
          <w:szCs w:val="24"/>
        </w:rPr>
        <w:t>-</w:t>
      </w:r>
      <w:r w:rsidRPr="00F700DA">
        <w:rPr>
          <w:rFonts w:cs="TimesNewRomanPSMT"/>
          <w:sz w:val="24"/>
          <w:szCs w:val="24"/>
        </w:rPr>
        <w:t xml:space="preserve">wskaźnik koncentracji oblicza się </w:t>
      </w:r>
      <w:r w:rsidRPr="00097513">
        <w:rPr>
          <w:rFonts w:cs="TimesNewRomanPSMT"/>
          <w:sz w:val="24"/>
          <w:szCs w:val="24"/>
          <w:u w:val="single"/>
        </w:rPr>
        <w:t xml:space="preserve">dla całej </w:t>
      </w:r>
      <w:r>
        <w:rPr>
          <w:rFonts w:cs="TimesNewRomanPSMT"/>
          <w:sz w:val="24"/>
          <w:szCs w:val="24"/>
          <w:u w:val="single"/>
        </w:rPr>
        <w:t xml:space="preserve">nowobudowanej </w:t>
      </w:r>
      <w:r w:rsidRPr="00097513">
        <w:rPr>
          <w:rFonts w:cs="TimesNewRomanPSMT"/>
          <w:sz w:val="24"/>
          <w:szCs w:val="24"/>
          <w:u w:val="single"/>
        </w:rPr>
        <w:t>sieci kanalizacyjnej</w:t>
      </w:r>
      <w:r w:rsidRPr="00F700DA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 xml:space="preserve"> Nie można więc realizować projektu w przedstawionej formule.  </w:t>
      </w:r>
    </w:p>
    <w:p w:rsidR="00B812C9" w:rsidRPr="006407CF" w:rsidRDefault="00B812C9" w:rsidP="008A211D">
      <w:pPr>
        <w:jc w:val="both"/>
      </w:pPr>
    </w:p>
    <w:sectPr w:rsidR="00B812C9" w:rsidRPr="006407CF" w:rsidSect="00B8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057"/>
    <w:rsid w:val="00097513"/>
    <w:rsid w:val="00244D1A"/>
    <w:rsid w:val="00372057"/>
    <w:rsid w:val="005C74DF"/>
    <w:rsid w:val="006407CF"/>
    <w:rsid w:val="007B5289"/>
    <w:rsid w:val="008A211D"/>
    <w:rsid w:val="009A4014"/>
    <w:rsid w:val="00B812C9"/>
    <w:rsid w:val="00CF292D"/>
    <w:rsid w:val="00E472AA"/>
    <w:rsid w:val="00FD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2C9"/>
  </w:style>
  <w:style w:type="paragraph" w:styleId="Nagwek3">
    <w:name w:val="heading 3"/>
    <w:basedOn w:val="Normalny"/>
    <w:link w:val="Nagwek3Znak"/>
    <w:uiPriority w:val="9"/>
    <w:qFormat/>
    <w:rsid w:val="00372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720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72A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agnpac</dc:creator>
  <cp:lastModifiedBy>ewebil</cp:lastModifiedBy>
  <cp:revision>3</cp:revision>
  <dcterms:created xsi:type="dcterms:W3CDTF">2016-03-07T13:13:00Z</dcterms:created>
  <dcterms:modified xsi:type="dcterms:W3CDTF">2016-03-07T13:16:00Z</dcterms:modified>
</cp:coreProperties>
</file>