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2200CE2A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A4251D" w:rsidRPr="00A4251D">
        <w:rPr>
          <w:sz w:val="20"/>
        </w:rPr>
        <w:t xml:space="preserve"> </w:t>
      </w:r>
      <w:r w:rsidR="00A4251D">
        <w:rPr>
          <w:sz w:val="20"/>
        </w:rPr>
        <w:t>30 listopada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bezemisyjnego </w:t>
      </w:r>
      <w:r w:rsidR="00616985">
        <w:lastRenderedPageBreak/>
        <w:t>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lastRenderedPageBreak/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</w:t>
      </w:r>
      <w:r w:rsidRPr="00DD0783">
        <w:rPr>
          <w:rFonts w:eastAsia="Times New Roman" w:cs="Times New Roman"/>
        </w:rPr>
        <w:lastRenderedPageBreak/>
        <w:t xml:space="preserve">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7777777" w:rsidR="005351BC" w:rsidRPr="00025329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</w:t>
      </w:r>
      <w:r w:rsidR="00BA7DC6" w:rsidRPr="00BA7DC6">
        <w:rPr>
          <w:rFonts w:cs="Calibri"/>
        </w:rPr>
        <w:lastRenderedPageBreak/>
        <w:t xml:space="preserve">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lub podmiotu </w:t>
      </w:r>
      <w:r w:rsidRPr="00CB18AB">
        <w:rPr>
          <w:rFonts w:ascii="Calibri" w:eastAsia="Calibri" w:hAnsi="Calibri" w:cs="Calibri"/>
          <w:lang w:eastAsia="en-US"/>
        </w:rPr>
        <w:lastRenderedPageBreak/>
        <w:t>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</w:t>
      </w:r>
      <w:r>
        <w:rPr>
          <w:rFonts w:cs="Calibri"/>
        </w:rPr>
        <w:lastRenderedPageBreak/>
        <w:t>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2FE7ACBB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 w:rsidR="000E2650">
        <w:t xml:space="preserve"> oraz w przypadku działań realizowanych na podstawie rozporządzenia REACT - EU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5351BC" w:rsidRDefault="005351BC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5351BC" w:rsidRDefault="005351BC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6EE0-4A82-4016-A517-F8B240D6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10473</Words>
  <Characters>62838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2021-06-22T08:24:00Z</cp:lastPrinted>
  <dcterms:created xsi:type="dcterms:W3CDTF">2021-11-08T13:42:00Z</dcterms:created>
  <dcterms:modified xsi:type="dcterms:W3CDTF">2021-11-30T11:06:00Z</dcterms:modified>
</cp:coreProperties>
</file>