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AC" w:rsidRDefault="00EC713C">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1226820</wp:posOffset>
                </wp:positionH>
                <wp:positionV relativeFrom="paragraph">
                  <wp:posOffset>-622300</wp:posOffset>
                </wp:positionV>
                <wp:extent cx="5233035" cy="10140950"/>
                <wp:effectExtent l="26670" t="25400" r="26670" b="254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10140950"/>
                        </a:xfrm>
                        <a:prstGeom prst="rect">
                          <a:avLst/>
                        </a:prstGeom>
                        <a:gradFill rotWithShape="0">
                          <a:gsLst>
                            <a:gs pos="0">
                              <a:srgbClr val="243F60">
                                <a:gamma/>
                                <a:shade val="60000"/>
                                <a:invGamma/>
                              </a:srgbClr>
                            </a:gs>
                            <a:gs pos="100000">
                              <a:srgbClr val="243F60"/>
                            </a:gs>
                          </a:gsLst>
                          <a:lin ang="2700000" scaled="1"/>
                        </a:gradFill>
                        <a:ln w="38100">
                          <a:solidFill>
                            <a:srgbClr val="D8D8D8"/>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C6AEB" w:rsidRDefault="00CC6AEB">
                            <w:pPr>
                              <w:pStyle w:val="Bezodstpw"/>
                              <w:rPr>
                                <w:color w:val="FFFFFF"/>
                                <w:sz w:val="40"/>
                                <w:szCs w:val="40"/>
                              </w:rPr>
                            </w:pPr>
                            <w:r w:rsidRPr="00BB5A64">
                              <w:rPr>
                                <w:sz w:val="36"/>
                                <w:szCs w:val="36"/>
                              </w:rPr>
                              <w:t>Załącznik do Programu Operacyjnego Polska Cyfrowa na lata 2014-2020</w:t>
                            </w:r>
                          </w:p>
                          <w:p w:rsidR="00CC6AEB" w:rsidRDefault="00CC6AEB">
                            <w:pPr>
                              <w:pStyle w:val="Bezodstpw"/>
                              <w:rPr>
                                <w:color w:val="FFFFFF"/>
                                <w:sz w:val="40"/>
                                <w:szCs w:val="40"/>
                              </w:rPr>
                            </w:pPr>
                          </w:p>
                          <w:p w:rsidR="00CC6AEB" w:rsidRPr="001932F6" w:rsidRDefault="00CC6AEB">
                            <w:pPr>
                              <w:pStyle w:val="Bezodstpw"/>
                              <w:rPr>
                                <w:rFonts w:cs="Calibri"/>
                                <w:color w:val="FFFFFF"/>
                                <w:sz w:val="48"/>
                                <w:szCs w:val="48"/>
                              </w:rPr>
                            </w:pPr>
                            <w:bookmarkStart w:id="0" w:name="_GoBack"/>
                            <w:r w:rsidRPr="00CA21F3">
                              <w:rPr>
                                <w:rFonts w:cs="Calibri"/>
                                <w:b/>
                                <w:color w:val="FFFFFF"/>
                                <w:sz w:val="48"/>
                                <w:szCs w:val="48"/>
                              </w:rPr>
                              <w:t>Informacje na temat ustanowienia ram wykonania</w:t>
                            </w:r>
                          </w:p>
                          <w:bookmarkEnd w:id="0"/>
                          <w:p w:rsidR="00CC6AEB" w:rsidRPr="005A36AC" w:rsidRDefault="00CC6AEB">
                            <w:pPr>
                              <w:pStyle w:val="Bezodstpw"/>
                              <w:rPr>
                                <w:color w:val="FFFFFF"/>
                              </w:rPr>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6pt;margin-top:-49pt;width:412.05pt;height:7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" fillcolor="#16263a" strokecolor="#d8d8d8" strokeweight="3pt">
                <v:fill color2="#243f60" angle="45" focus="100%" type="gradient"/>
                <v:shadow color="#d8d8d8" offset="3pt,3pt"/>
                <v:textbox inset="18pt,108pt,36pt">
                  <w:txbxContent>
                    <w:p w:rsidR="00CC6AEB" w:rsidRDefault="00CC6AEB">
                      <w:pPr>
                        <w:pStyle w:val="Bezodstpw"/>
                        <w:rPr>
                          <w:color w:val="FFFFFF"/>
                          <w:sz w:val="40"/>
                          <w:szCs w:val="40"/>
                        </w:rPr>
                      </w:pPr>
                      <w:r w:rsidRPr="00BB5A64">
                        <w:rPr>
                          <w:sz w:val="36"/>
                          <w:szCs w:val="36"/>
                        </w:rPr>
                        <w:t>Załącznik do Programu Operacyjnego Polska Cyfrowa na lata 2014-2020</w:t>
                      </w:r>
                    </w:p>
                    <w:p w:rsidR="00CC6AEB" w:rsidRDefault="00CC6AEB">
                      <w:pPr>
                        <w:pStyle w:val="Bezodstpw"/>
                        <w:rPr>
                          <w:color w:val="FFFFFF"/>
                          <w:sz w:val="40"/>
                          <w:szCs w:val="40"/>
                        </w:rPr>
                      </w:pPr>
                    </w:p>
                    <w:p w:rsidR="00CC6AEB" w:rsidRPr="001932F6" w:rsidRDefault="00CC6AEB">
                      <w:pPr>
                        <w:pStyle w:val="Bezodstpw"/>
                        <w:rPr>
                          <w:rFonts w:cs="Calibri"/>
                          <w:color w:val="FFFFFF"/>
                          <w:sz w:val="48"/>
                          <w:szCs w:val="48"/>
                        </w:rPr>
                      </w:pPr>
                      <w:r w:rsidRPr="00CA21F3">
                        <w:rPr>
                          <w:rFonts w:cs="Calibri"/>
                          <w:b/>
                          <w:color w:val="FFFFFF"/>
                          <w:sz w:val="48"/>
                          <w:szCs w:val="48"/>
                        </w:rPr>
                        <w:t>Informacje na temat ustanowienia ram wykonania</w:t>
                      </w:r>
                    </w:p>
                    <w:p w:rsidR="00CC6AEB" w:rsidRPr="005A36AC" w:rsidRDefault="00CC6AEB">
                      <w:pPr>
                        <w:pStyle w:val="Bezodstpw"/>
                        <w:rPr>
                          <w:color w:val="FFFFFF"/>
                        </w:rPr>
                      </w:pPr>
                    </w:p>
                  </w:txbxContent>
                </v:textbox>
              </v:rect>
            </w:pict>
          </mc:Fallback>
        </mc:AlternateContent>
      </w:r>
      <w:r>
        <w:rPr>
          <w:noProof/>
          <w:lang w:eastAsia="pl-PL"/>
        </w:rPr>
        <mc:AlternateContent>
          <mc:Choice Requires="wps">
            <w:drawing>
              <wp:anchor distT="0" distB="0" distL="114300" distR="114300" simplePos="0" relativeHeight="251653120" behindDoc="0" locked="0" layoutInCell="1" allowOverlap="1">
                <wp:simplePos x="0" y="0"/>
                <wp:positionH relativeFrom="column">
                  <wp:posOffset>-691515</wp:posOffset>
                </wp:positionH>
                <wp:positionV relativeFrom="paragraph">
                  <wp:posOffset>-622300</wp:posOffset>
                </wp:positionV>
                <wp:extent cx="7151370" cy="10140950"/>
                <wp:effectExtent l="32385" t="34925" r="45720" b="53975"/>
                <wp:wrapNone/>
                <wp:docPr id="13"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1370" cy="10140950"/>
                        </a:xfrm>
                        <a:prstGeom prst="rect">
                          <a:avLst/>
                        </a:prstGeom>
                        <a:gradFill rotWithShape="1">
                          <a:gsLst>
                            <a:gs pos="0">
                              <a:srgbClr val="666666"/>
                            </a:gs>
                            <a:gs pos="50000">
                              <a:srgbClr val="CCCCCC"/>
                            </a:gs>
                            <a:gs pos="100000">
                              <a:srgbClr val="666666"/>
                            </a:gs>
                          </a:gsLst>
                          <a:lin ang="18900000" scaled="1"/>
                        </a:gradFill>
                        <a:ln w="57150">
                          <a:solidFill>
                            <a:srgbClr val="17365D"/>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EC95D6" id="Rectangle 4" o:spid="_x0000_s1026" alt="Zig zag" style="position:absolute;margin-left:-54.45pt;margin-top:-49pt;width:563.1pt;height:7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" fillcolor="#666" strokecolor="#17365d" strokeweight="4.5pt">
                <v:fill color2="#ccc" rotate="t" angle="135" focus="50%" type="gradient"/>
                <v:shadow on="t" color="#7f7f7f" opacity=".5" offset="1pt"/>
              </v:rect>
            </w:pict>
          </mc:Fallback>
        </mc:AlternateContent>
      </w:r>
    </w:p>
    <w:p w:rsidR="005A36AC" w:rsidRDefault="005A36AC"/>
    <w:p w:rsidR="005A36AC" w:rsidRDefault="00EC713C" w:rsidP="00BB5A64">
      <w:pPr>
        <w:jc w:val="center"/>
        <w:rPr>
          <w:b/>
          <w:sz w:val="24"/>
          <w:szCs w:val="24"/>
        </w:rPr>
      </w:pPr>
      <w:r>
        <w:rPr>
          <w:b/>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262255</wp:posOffset>
                </wp:positionH>
                <wp:positionV relativeFrom="paragraph">
                  <wp:posOffset>3839210</wp:posOffset>
                </wp:positionV>
                <wp:extent cx="965200" cy="1023620"/>
                <wp:effectExtent l="14605" t="10160" r="1079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3620"/>
                        </a:xfrm>
                        <a:prstGeom prst="rect">
                          <a:avLst/>
                        </a:prstGeom>
                        <a:solidFill>
                          <a:srgbClr val="0F243E"/>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9DF2CA" id="Rectangle 12" o:spid="_x0000_s1026" style="position:absolute;margin-left:20.65pt;margin-top:302.3pt;width:76pt;height:80.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" fillcolor="#0f243e" strokecolor="white" strokeweight="1pt">
                <v:shadow color="#d8d8d8" offset="3pt,3pt"/>
              </v:rect>
            </w:pict>
          </mc:Fallback>
        </mc:AlternateContent>
      </w:r>
      <w:r>
        <w:rPr>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-702945</wp:posOffset>
                </wp:positionH>
                <wp:positionV relativeFrom="paragraph">
                  <wp:posOffset>2815590</wp:posOffset>
                </wp:positionV>
                <wp:extent cx="965200" cy="1023620"/>
                <wp:effectExtent l="11430" t="15240" r="1397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3620"/>
                        </a:xfrm>
                        <a:prstGeom prst="rect">
                          <a:avLst/>
                        </a:prstGeom>
                        <a:solidFill>
                          <a:srgbClr val="0F243E"/>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1CBFF1" id="Rectangle 11" o:spid="_x0000_s1026" style="position:absolute;margin-left:-55.35pt;margin-top:221.7pt;width:76pt;height:80.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" fillcolor="#0f243e" strokecolor="white" strokeweight="1pt">
                <v:shadow color="#d8d8d8" offset="3pt,3pt"/>
              </v:rect>
            </w:pict>
          </mc:Fallback>
        </mc:AlternateContent>
      </w:r>
      <w:r>
        <w:rPr>
          <w:b/>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767715</wp:posOffset>
                </wp:positionV>
                <wp:extent cx="965200" cy="1023620"/>
                <wp:effectExtent l="11430" t="15240" r="1397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3620"/>
                        </a:xfrm>
                        <a:prstGeom prst="rect">
                          <a:avLst/>
                        </a:prstGeom>
                        <a:solidFill>
                          <a:srgbClr val="B8CCE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21BBAB" id="Rectangle 10" o:spid="_x0000_s1026" style="position:absolute;margin-left:-55.35pt;margin-top:60.45pt;width:76pt;height:80.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" fillcolor="#b8cce4" strokecolor="white" strokeweight="1pt">
                <v:shadow color="#d8d8d8" offset="3pt,3pt"/>
              </v:rect>
            </w:pict>
          </mc:Fallback>
        </mc:AlternateContent>
      </w:r>
      <w:r>
        <w:rPr>
          <w:b/>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1793240</wp:posOffset>
                </wp:positionV>
                <wp:extent cx="965200" cy="1024255"/>
                <wp:effectExtent l="11430" t="12065" r="139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4255"/>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B96198" id="Rectangle 9" o:spid="_x0000_s1026" style="position:absolute;margin-left:-55.35pt;margin-top:141.2pt;width:76pt;height:8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" fillcolor="#365f91" strokecolor="white" strokeweight="1pt">
                <v:shadow color="#d8d8d8" offset="3pt,3pt"/>
              </v:rect>
            </w:pict>
          </mc:Fallback>
        </mc:AlternateContent>
      </w:r>
      <w:r>
        <w:rPr>
          <w:b/>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262255</wp:posOffset>
                </wp:positionH>
                <wp:positionV relativeFrom="paragraph">
                  <wp:posOffset>1793240</wp:posOffset>
                </wp:positionV>
                <wp:extent cx="965200" cy="1024255"/>
                <wp:effectExtent l="14605" t="1206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4255"/>
                        </a:xfrm>
                        <a:prstGeom prst="rect">
                          <a:avLst/>
                        </a:prstGeom>
                        <a:solidFill>
                          <a:srgbClr val="B8CCE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2ACB93" id="Rectangle 8" o:spid="_x0000_s1026" style="position:absolute;margin-left:20.65pt;margin-top:141.2pt;width:76pt;height:8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" fillcolor="#b8cce4" strokecolor="white" strokeweight="1pt">
                <v:shadow color="#d8d8d8" offset="3pt,3pt"/>
              </v:rect>
            </w:pict>
          </mc:Fallback>
        </mc:AlternateContent>
      </w:r>
      <w:r>
        <w:rPr>
          <w:b/>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262255</wp:posOffset>
                </wp:positionH>
                <wp:positionV relativeFrom="paragraph">
                  <wp:posOffset>2815590</wp:posOffset>
                </wp:positionV>
                <wp:extent cx="965200" cy="1023620"/>
                <wp:effectExtent l="14605" t="15240" r="1079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3620"/>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227875" id="Rectangle 7" o:spid="_x0000_s1026" style="position:absolute;margin-left:20.65pt;margin-top:221.7pt;width:76pt;height:80.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" fillcolor="#365f91" strokecolor="white" strokeweight="1pt">
                <v:shadow color="#d8d8d8" offset="3pt,3pt"/>
              </v:rect>
            </w:pict>
          </mc:Fallback>
        </mc:AlternateContent>
      </w:r>
      <w:r>
        <w:rPr>
          <w:b/>
          <w:noProof/>
          <w:sz w:val="24"/>
          <w:szCs w:val="24"/>
          <w:lang w:eastAsia="pl-PL"/>
        </w:rPr>
        <mc:AlternateContent>
          <mc:Choice Requires="wps">
            <w:drawing>
              <wp:anchor distT="0" distB="0" distL="114300" distR="114300" simplePos="0" relativeHeight="251656192" behindDoc="0" locked="0" layoutInCell="1" allowOverlap="1">
                <wp:simplePos x="0" y="0"/>
                <wp:positionH relativeFrom="column">
                  <wp:posOffset>1228725</wp:posOffset>
                </wp:positionH>
                <wp:positionV relativeFrom="paragraph">
                  <wp:posOffset>7741285</wp:posOffset>
                </wp:positionV>
                <wp:extent cx="4384040" cy="932815"/>
                <wp:effectExtent l="0" t="0" r="0" b="317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040" cy="93281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C6AEB" w:rsidRDefault="00CC6AEB" w:rsidP="005A36AC">
                            <w:pPr>
                              <w:pStyle w:val="Bezodstpw"/>
                              <w:jc w:val="right"/>
                            </w:pPr>
                          </w:p>
                          <w:p w:rsidR="00CC6AEB" w:rsidRDefault="00CC6AEB" w:rsidP="005A36AC">
                            <w:pPr>
                              <w:pStyle w:val="Bezodstpw"/>
                              <w:jc w:val="right"/>
                            </w:pPr>
                          </w:p>
                          <w:p w:rsidR="00CC6AEB" w:rsidRDefault="00CC6AEB" w:rsidP="005A36AC">
                            <w:pPr>
                              <w:pStyle w:val="Bezodstpw"/>
                              <w:jc w:val="right"/>
                            </w:pPr>
                          </w:p>
                          <w:p w:rsidR="00CC6AEB" w:rsidRPr="005A36AC" w:rsidRDefault="00CC6AEB" w:rsidP="005A36AC">
                            <w:pPr>
                              <w:pStyle w:val="Bezodstpw"/>
                              <w:jc w:val="right"/>
                              <w:rPr>
                                <w:color w:val="FFFFFF"/>
                              </w:rPr>
                            </w:pPr>
                            <w:r w:rsidDel="005A36AC">
                              <w:t xml:space="preserve"> </w:t>
                            </w:r>
                          </w:p>
                          <w:p w:rsidR="00CC6AEB" w:rsidRPr="00BB5A64" w:rsidRDefault="00CC6AEB">
                            <w:pPr>
                              <w:pStyle w:val="Bezodstpw"/>
                              <w:jc w:val="right"/>
                              <w:rPr>
                                <w:b/>
                                <w:color w:val="FFFFFF"/>
                              </w:rPr>
                            </w:pPr>
                            <w:r w:rsidRPr="00BB5A64">
                              <w:rPr>
                                <w:b/>
                                <w:color w:val="FFFFFF"/>
                              </w:rPr>
                              <w:t>2014</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96.75pt;margin-top:609.55pt;width:345.2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" filled="f" stroked="f" strokecolor="white" strokeweight="1pt">
                <v:fill opacity="52428f"/>
                <v:textbox inset=",0,,0">
                  <w:txbxContent>
                    <w:p w:rsidR="00CC6AEB" w:rsidRDefault="00CC6AEB" w:rsidP="005A36AC">
                      <w:pPr>
                        <w:pStyle w:val="Bezodstpw"/>
                        <w:jc w:val="right"/>
                      </w:pPr>
                    </w:p>
                    <w:p w:rsidR="00CC6AEB" w:rsidRDefault="00CC6AEB" w:rsidP="005A36AC">
                      <w:pPr>
                        <w:pStyle w:val="Bezodstpw"/>
                        <w:jc w:val="right"/>
                      </w:pPr>
                    </w:p>
                    <w:p w:rsidR="00CC6AEB" w:rsidRDefault="00CC6AEB" w:rsidP="005A36AC">
                      <w:pPr>
                        <w:pStyle w:val="Bezodstpw"/>
                        <w:jc w:val="right"/>
                      </w:pPr>
                    </w:p>
                    <w:p w:rsidR="00CC6AEB" w:rsidRPr="005A36AC" w:rsidRDefault="00CC6AEB" w:rsidP="005A36AC">
                      <w:pPr>
                        <w:pStyle w:val="Bezodstpw"/>
                        <w:jc w:val="right"/>
                        <w:rPr>
                          <w:color w:val="FFFFFF"/>
                        </w:rPr>
                      </w:pPr>
                      <w:r w:rsidDel="005A36AC">
                        <w:t xml:space="preserve"> </w:t>
                      </w:r>
                    </w:p>
                    <w:p w:rsidR="00CC6AEB" w:rsidRPr="00BB5A64" w:rsidRDefault="00CC6AEB">
                      <w:pPr>
                        <w:pStyle w:val="Bezodstpw"/>
                        <w:jc w:val="right"/>
                        <w:rPr>
                          <w:b/>
                          <w:color w:val="FFFFFF"/>
                        </w:rPr>
                      </w:pPr>
                      <w:r w:rsidRPr="00BB5A64">
                        <w:rPr>
                          <w:b/>
                          <w:color w:val="FFFFFF"/>
                        </w:rPr>
                        <w:t>2014</w:t>
                      </w:r>
                    </w:p>
                  </w:txbxContent>
                </v:textbox>
              </v:rect>
            </w:pict>
          </mc:Fallback>
        </mc:AlternateContent>
      </w:r>
      <w:r>
        <w:rPr>
          <w:b/>
          <w:noProof/>
          <w:sz w:val="24"/>
          <w:szCs w:val="24"/>
          <w:lang w:eastAsia="pl-PL"/>
        </w:rPr>
        <mc:AlternateContent>
          <mc:Choice Requires="wpg">
            <w:drawing>
              <wp:anchor distT="0" distB="0" distL="114300" distR="114300" simplePos="0" relativeHeight="251655168" behindDoc="0" locked="0" layoutInCell="1" allowOverlap="1">
                <wp:simplePos x="0" y="0"/>
                <wp:positionH relativeFrom="column">
                  <wp:posOffset>5786755</wp:posOffset>
                </wp:positionH>
                <wp:positionV relativeFrom="paragraph">
                  <wp:posOffset>8161020</wp:posOffset>
                </wp:positionV>
                <wp:extent cx="482600" cy="513080"/>
                <wp:effectExtent l="14605" t="7620" r="7620" b="1270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82600" cy="513080"/>
                          <a:chOff x="8754" y="11945"/>
                          <a:chExt cx="2880" cy="2859"/>
                        </a:xfrm>
                      </wpg:grpSpPr>
                      <wps:wsp>
                        <wps:cNvPr id="3" name="Rectangle 16"/>
                        <wps:cNvSpPr>
                          <a:spLocks noChangeArrowheads="1"/>
                        </wps:cNvSpPr>
                        <wps:spPr bwMode="auto">
                          <a:xfrm flipH="1">
                            <a:off x="10194" y="11945"/>
                            <a:ext cx="1440" cy="1440"/>
                          </a:xfrm>
                          <a:prstGeom prst="rect">
                            <a:avLst/>
                          </a:prstGeom>
                          <a:solidFill>
                            <a:srgbClr val="0F243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7"/>
                        <wps:cNvSpPr>
                          <a:spLocks noChangeArrowheads="1"/>
                        </wps:cNvSpPr>
                        <wps:spPr bwMode="auto">
                          <a:xfrm flipH="1">
                            <a:off x="10194" y="13364"/>
                            <a:ext cx="1440" cy="1440"/>
                          </a:xfrm>
                          <a:prstGeom prst="rect">
                            <a:avLst/>
                          </a:prstGeom>
                          <a:solidFill>
                            <a:srgbClr val="B8CCE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18"/>
                        <wps:cNvSpPr>
                          <a:spLocks noChangeArrowheads="1"/>
                        </wps:cNvSpPr>
                        <wps:spPr bwMode="auto">
                          <a:xfrm flipH="1">
                            <a:off x="8754" y="13364"/>
                            <a:ext cx="1440" cy="1440"/>
                          </a:xfrm>
                          <a:prstGeom prst="rect">
                            <a:avLst/>
                          </a:prstGeom>
                          <a:solidFill>
                            <a:srgbClr val="365F91">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C8AAD6B" id="Group 15" o:spid="_x0000_s1026" style="position:absolute;margin-left:455.65pt;margin-top:642.6pt;width:38pt;height:40.4pt;flip:x y;z-index:251655168"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">
                <v:rect id="Rectangle 16"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" fillcolor="#0f243e" strokecolor="white" strokeweight="1pt">
                  <v:fill opacity="32896f"/>
                  <v:shadow color="#d8d8d8" offset="3pt,3pt"/>
                </v:rect>
                <v:rect id="Rectangle 17"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" fillcolor="#b8cce4" strokecolor="white" strokeweight="1pt">
                  <v:shadow color="#d8d8d8" offset="3pt,3pt"/>
                </v:rect>
                <v:rect id="Rectangle 18"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" fillcolor="#365f91" strokecolor="white" strokeweight="1pt">
                  <v:fill opacity="32896f"/>
                  <v:shadow color="#d8d8d8" offset="3pt,3pt"/>
                </v:rect>
              </v:group>
            </w:pict>
          </mc:Fallback>
        </mc:AlternateContent>
      </w:r>
      <w:r w:rsidR="005A36AC">
        <w:rPr>
          <w:b/>
          <w:sz w:val="24"/>
          <w:szCs w:val="24"/>
        </w:rPr>
        <w:br w:type="page"/>
      </w:r>
    </w:p>
    <w:p w:rsidR="0067073E" w:rsidRPr="00BB5A64" w:rsidRDefault="0067073E" w:rsidP="00BB5A64">
      <w:pPr>
        <w:jc w:val="center"/>
        <w:rPr>
          <w:b/>
          <w:sz w:val="24"/>
          <w:szCs w:val="24"/>
        </w:rPr>
      </w:pPr>
      <w:r w:rsidRPr="00BB5A64">
        <w:rPr>
          <w:b/>
          <w:sz w:val="24"/>
          <w:szCs w:val="24"/>
        </w:rPr>
        <w:lastRenderedPageBreak/>
        <w:t>Spis treści</w:t>
      </w:r>
    </w:p>
    <w:p w:rsidR="000755CD" w:rsidRPr="00DC341B" w:rsidRDefault="0067073E">
      <w:pPr>
        <w:pStyle w:val="Spistreci1"/>
        <w:tabs>
          <w:tab w:val="right" w:leader="dot" w:pos="9062"/>
        </w:tabs>
        <w:rPr>
          <w:rFonts w:eastAsia="Times New Roman"/>
          <w:noProof/>
          <w:lang w:eastAsia="pl-PL"/>
        </w:rPr>
      </w:pPr>
      <w:r>
        <w:fldChar w:fldCharType="begin"/>
      </w:r>
      <w:r>
        <w:instrText xml:space="preserve"> TOC \o "1-3" \h \z \u </w:instrText>
      </w:r>
      <w:r>
        <w:fldChar w:fldCharType="separate"/>
      </w:r>
      <w:hyperlink w:anchor="_Toc401825897" w:history="1">
        <w:r w:rsidR="000755CD" w:rsidRPr="00CE414D">
          <w:rPr>
            <w:rStyle w:val="Hipercze"/>
            <w:rFonts w:ascii="Cambria" w:eastAsia="Times New Roman" w:hAnsi="Cambria"/>
            <w:b/>
            <w:noProof/>
          </w:rPr>
          <w:t>I. Część ogólna dotycząca całego programu</w:t>
        </w:r>
        <w:r w:rsidR="000755CD">
          <w:rPr>
            <w:noProof/>
            <w:webHidden/>
          </w:rPr>
          <w:tab/>
        </w:r>
        <w:r w:rsidR="000755CD">
          <w:rPr>
            <w:noProof/>
            <w:webHidden/>
          </w:rPr>
          <w:fldChar w:fldCharType="begin"/>
        </w:r>
        <w:r w:rsidR="000755CD">
          <w:rPr>
            <w:noProof/>
            <w:webHidden/>
          </w:rPr>
          <w:instrText xml:space="preserve"> PAGEREF _Toc401825897 \h </w:instrText>
        </w:r>
        <w:r w:rsidR="000755CD">
          <w:rPr>
            <w:noProof/>
            <w:webHidden/>
          </w:rPr>
        </w:r>
        <w:r w:rsidR="000755CD">
          <w:rPr>
            <w:noProof/>
            <w:webHidden/>
          </w:rPr>
          <w:fldChar w:fldCharType="separate"/>
        </w:r>
        <w:r w:rsidR="002570DE">
          <w:rPr>
            <w:noProof/>
            <w:webHidden/>
          </w:rPr>
          <w:t>2</w:t>
        </w:r>
        <w:r w:rsidR="000755CD">
          <w:rPr>
            <w:noProof/>
            <w:webHidden/>
          </w:rPr>
          <w:fldChar w:fldCharType="end"/>
        </w:r>
      </w:hyperlink>
    </w:p>
    <w:p w:rsidR="000755CD" w:rsidRPr="00DC341B" w:rsidRDefault="00050B55">
      <w:pPr>
        <w:pStyle w:val="Spistreci1"/>
        <w:tabs>
          <w:tab w:val="right" w:leader="dot" w:pos="9062"/>
        </w:tabs>
        <w:rPr>
          <w:rFonts w:eastAsia="Times New Roman"/>
          <w:noProof/>
          <w:lang w:eastAsia="pl-PL"/>
        </w:rPr>
      </w:pPr>
      <w:hyperlink w:anchor="_Toc401825898" w:history="1">
        <w:r w:rsidR="000755CD" w:rsidRPr="00CE414D">
          <w:rPr>
            <w:rStyle w:val="Hipercze"/>
            <w:rFonts w:ascii="Cambria" w:eastAsia="Times New Roman" w:hAnsi="Cambria"/>
            <w:b/>
            <w:bCs/>
            <w:noProof/>
          </w:rPr>
          <w:t>II. Część szczegółowa dotycząca poszczególnych osi priorytetowych i ustanowionych dla nich ram wykonania</w:t>
        </w:r>
        <w:r w:rsidR="000755CD">
          <w:rPr>
            <w:noProof/>
            <w:webHidden/>
          </w:rPr>
          <w:tab/>
        </w:r>
        <w:r w:rsidR="000755CD">
          <w:rPr>
            <w:noProof/>
            <w:webHidden/>
          </w:rPr>
          <w:fldChar w:fldCharType="begin"/>
        </w:r>
        <w:r w:rsidR="000755CD">
          <w:rPr>
            <w:noProof/>
            <w:webHidden/>
          </w:rPr>
          <w:instrText xml:space="preserve"> PAGEREF _Toc401825898 \h </w:instrText>
        </w:r>
        <w:r w:rsidR="000755CD">
          <w:rPr>
            <w:noProof/>
            <w:webHidden/>
          </w:rPr>
        </w:r>
        <w:r w:rsidR="000755CD">
          <w:rPr>
            <w:noProof/>
            <w:webHidden/>
          </w:rPr>
          <w:fldChar w:fldCharType="separate"/>
        </w:r>
        <w:r w:rsidR="002570DE">
          <w:rPr>
            <w:noProof/>
            <w:webHidden/>
          </w:rPr>
          <w:t>6</w:t>
        </w:r>
        <w:r w:rsidR="000755CD">
          <w:rPr>
            <w:noProof/>
            <w:webHidden/>
          </w:rPr>
          <w:fldChar w:fldCharType="end"/>
        </w:r>
      </w:hyperlink>
    </w:p>
    <w:p w:rsidR="000755CD" w:rsidRPr="00DC341B" w:rsidRDefault="00050B55">
      <w:pPr>
        <w:pStyle w:val="Spistreci2"/>
        <w:tabs>
          <w:tab w:val="right" w:leader="dot" w:pos="9062"/>
        </w:tabs>
        <w:rPr>
          <w:rFonts w:eastAsia="Times New Roman"/>
          <w:noProof/>
          <w:lang w:eastAsia="pl-PL"/>
        </w:rPr>
      </w:pPr>
      <w:hyperlink w:anchor="_Toc401825899" w:history="1">
        <w:r w:rsidR="000755CD" w:rsidRPr="00CE414D">
          <w:rPr>
            <w:rStyle w:val="Hipercze"/>
            <w:noProof/>
          </w:rPr>
          <w:t>Oś priorytetowa I. Powszechny dostęp do szybkiego Internetu</w:t>
        </w:r>
        <w:r w:rsidR="000755CD">
          <w:rPr>
            <w:noProof/>
            <w:webHidden/>
          </w:rPr>
          <w:tab/>
        </w:r>
        <w:r w:rsidR="000755CD">
          <w:rPr>
            <w:noProof/>
            <w:webHidden/>
          </w:rPr>
          <w:fldChar w:fldCharType="begin"/>
        </w:r>
        <w:r w:rsidR="000755CD">
          <w:rPr>
            <w:noProof/>
            <w:webHidden/>
          </w:rPr>
          <w:instrText xml:space="preserve"> PAGEREF _Toc401825899 \h </w:instrText>
        </w:r>
        <w:r w:rsidR="000755CD">
          <w:rPr>
            <w:noProof/>
            <w:webHidden/>
          </w:rPr>
        </w:r>
        <w:r w:rsidR="000755CD">
          <w:rPr>
            <w:noProof/>
            <w:webHidden/>
          </w:rPr>
          <w:fldChar w:fldCharType="separate"/>
        </w:r>
        <w:r w:rsidR="002570DE">
          <w:rPr>
            <w:noProof/>
            <w:webHidden/>
          </w:rPr>
          <w:t>7</w:t>
        </w:r>
        <w:r w:rsidR="000755CD">
          <w:rPr>
            <w:noProof/>
            <w:webHidden/>
          </w:rPr>
          <w:fldChar w:fldCharType="end"/>
        </w:r>
      </w:hyperlink>
    </w:p>
    <w:p w:rsidR="000755CD" w:rsidRPr="00DC341B" w:rsidRDefault="00050B55">
      <w:pPr>
        <w:pStyle w:val="Spistreci2"/>
        <w:tabs>
          <w:tab w:val="right" w:leader="dot" w:pos="9062"/>
        </w:tabs>
        <w:rPr>
          <w:rFonts w:eastAsia="Times New Roman"/>
          <w:noProof/>
          <w:lang w:eastAsia="pl-PL"/>
        </w:rPr>
      </w:pPr>
      <w:hyperlink w:anchor="_Toc401825900" w:history="1">
        <w:r w:rsidR="000755CD" w:rsidRPr="00CE414D">
          <w:rPr>
            <w:rStyle w:val="Hipercze"/>
            <w:noProof/>
          </w:rPr>
          <w:t>Oś priorytetowa II. E-Administracja, otwarty rząd</w:t>
        </w:r>
        <w:r w:rsidR="000755CD">
          <w:rPr>
            <w:noProof/>
            <w:webHidden/>
          </w:rPr>
          <w:tab/>
        </w:r>
        <w:r w:rsidR="000755CD">
          <w:rPr>
            <w:noProof/>
            <w:webHidden/>
          </w:rPr>
          <w:fldChar w:fldCharType="begin"/>
        </w:r>
        <w:r w:rsidR="000755CD">
          <w:rPr>
            <w:noProof/>
            <w:webHidden/>
          </w:rPr>
          <w:instrText xml:space="preserve"> PAGEREF _Toc401825900 \h </w:instrText>
        </w:r>
        <w:r w:rsidR="000755CD">
          <w:rPr>
            <w:noProof/>
            <w:webHidden/>
          </w:rPr>
        </w:r>
        <w:r w:rsidR="000755CD">
          <w:rPr>
            <w:noProof/>
            <w:webHidden/>
          </w:rPr>
          <w:fldChar w:fldCharType="separate"/>
        </w:r>
        <w:r w:rsidR="002570DE">
          <w:rPr>
            <w:noProof/>
            <w:webHidden/>
          </w:rPr>
          <w:t>19</w:t>
        </w:r>
        <w:r w:rsidR="000755CD">
          <w:rPr>
            <w:noProof/>
            <w:webHidden/>
          </w:rPr>
          <w:fldChar w:fldCharType="end"/>
        </w:r>
      </w:hyperlink>
    </w:p>
    <w:p w:rsidR="000755CD" w:rsidRPr="00DC341B" w:rsidRDefault="00050B55">
      <w:pPr>
        <w:pStyle w:val="Spistreci2"/>
        <w:tabs>
          <w:tab w:val="right" w:leader="dot" w:pos="9062"/>
        </w:tabs>
        <w:rPr>
          <w:rFonts w:eastAsia="Times New Roman"/>
          <w:noProof/>
          <w:lang w:eastAsia="pl-PL"/>
        </w:rPr>
      </w:pPr>
      <w:hyperlink w:anchor="_Toc401825901" w:history="1">
        <w:r w:rsidR="000755CD" w:rsidRPr="00CE414D">
          <w:rPr>
            <w:rStyle w:val="Hipercze"/>
            <w:noProof/>
          </w:rPr>
          <w:t>Oś priorytetowa III. Cyfrowe kompetencje społeczeństwa</w:t>
        </w:r>
        <w:r w:rsidR="000755CD">
          <w:rPr>
            <w:noProof/>
            <w:webHidden/>
          </w:rPr>
          <w:tab/>
        </w:r>
        <w:r w:rsidR="000755CD">
          <w:rPr>
            <w:noProof/>
            <w:webHidden/>
          </w:rPr>
          <w:fldChar w:fldCharType="begin"/>
        </w:r>
        <w:r w:rsidR="000755CD">
          <w:rPr>
            <w:noProof/>
            <w:webHidden/>
          </w:rPr>
          <w:instrText xml:space="preserve"> PAGEREF _Toc401825901 \h </w:instrText>
        </w:r>
        <w:r w:rsidR="000755CD">
          <w:rPr>
            <w:noProof/>
            <w:webHidden/>
          </w:rPr>
        </w:r>
        <w:r w:rsidR="000755CD">
          <w:rPr>
            <w:noProof/>
            <w:webHidden/>
          </w:rPr>
          <w:fldChar w:fldCharType="separate"/>
        </w:r>
        <w:r w:rsidR="002570DE">
          <w:rPr>
            <w:noProof/>
            <w:webHidden/>
          </w:rPr>
          <w:t>25</w:t>
        </w:r>
        <w:r w:rsidR="000755CD">
          <w:rPr>
            <w:noProof/>
            <w:webHidden/>
          </w:rPr>
          <w:fldChar w:fldCharType="end"/>
        </w:r>
      </w:hyperlink>
    </w:p>
    <w:p w:rsidR="000755CD" w:rsidRPr="00DC341B" w:rsidRDefault="00050B55">
      <w:pPr>
        <w:pStyle w:val="Spistreci1"/>
        <w:tabs>
          <w:tab w:val="right" w:leader="dot" w:pos="9062"/>
        </w:tabs>
        <w:rPr>
          <w:rFonts w:eastAsia="Times New Roman"/>
          <w:noProof/>
          <w:lang w:eastAsia="pl-PL"/>
        </w:rPr>
      </w:pPr>
      <w:hyperlink w:anchor="_Toc401825902" w:history="1">
        <w:r w:rsidR="000755CD" w:rsidRPr="00CE414D">
          <w:rPr>
            <w:rStyle w:val="Hipercze"/>
            <w:noProof/>
          </w:rPr>
          <w:t>Spis tabel</w:t>
        </w:r>
        <w:r w:rsidR="000755CD">
          <w:rPr>
            <w:noProof/>
            <w:webHidden/>
          </w:rPr>
          <w:tab/>
        </w:r>
        <w:r w:rsidR="000755CD">
          <w:rPr>
            <w:noProof/>
            <w:webHidden/>
          </w:rPr>
          <w:fldChar w:fldCharType="begin"/>
        </w:r>
        <w:r w:rsidR="000755CD">
          <w:rPr>
            <w:noProof/>
            <w:webHidden/>
          </w:rPr>
          <w:instrText xml:space="preserve"> PAGEREF _Toc401825902 \h </w:instrText>
        </w:r>
        <w:r w:rsidR="000755CD">
          <w:rPr>
            <w:noProof/>
            <w:webHidden/>
          </w:rPr>
        </w:r>
        <w:r w:rsidR="000755CD">
          <w:rPr>
            <w:noProof/>
            <w:webHidden/>
          </w:rPr>
          <w:fldChar w:fldCharType="separate"/>
        </w:r>
        <w:r w:rsidR="002570DE">
          <w:rPr>
            <w:noProof/>
            <w:webHidden/>
          </w:rPr>
          <w:t>35</w:t>
        </w:r>
        <w:r w:rsidR="000755CD">
          <w:rPr>
            <w:noProof/>
            <w:webHidden/>
          </w:rPr>
          <w:fldChar w:fldCharType="end"/>
        </w:r>
      </w:hyperlink>
    </w:p>
    <w:p w:rsidR="000755CD" w:rsidRPr="00DC341B" w:rsidRDefault="00050B55">
      <w:pPr>
        <w:pStyle w:val="Spistreci1"/>
        <w:tabs>
          <w:tab w:val="right" w:leader="dot" w:pos="9062"/>
        </w:tabs>
        <w:rPr>
          <w:rFonts w:eastAsia="Times New Roman"/>
          <w:noProof/>
          <w:lang w:eastAsia="pl-PL"/>
        </w:rPr>
      </w:pPr>
      <w:hyperlink w:anchor="_Toc401825903" w:history="1">
        <w:r w:rsidR="000755CD" w:rsidRPr="00CE414D">
          <w:rPr>
            <w:rStyle w:val="Hipercze"/>
            <w:noProof/>
          </w:rPr>
          <w:t>Spis skrótów</w:t>
        </w:r>
        <w:r w:rsidR="000755CD">
          <w:rPr>
            <w:noProof/>
            <w:webHidden/>
          </w:rPr>
          <w:tab/>
        </w:r>
        <w:r w:rsidR="000755CD">
          <w:rPr>
            <w:noProof/>
            <w:webHidden/>
          </w:rPr>
          <w:fldChar w:fldCharType="begin"/>
        </w:r>
        <w:r w:rsidR="000755CD">
          <w:rPr>
            <w:noProof/>
            <w:webHidden/>
          </w:rPr>
          <w:instrText xml:space="preserve"> PAGEREF _Toc401825903 \h </w:instrText>
        </w:r>
        <w:r w:rsidR="000755CD">
          <w:rPr>
            <w:noProof/>
            <w:webHidden/>
          </w:rPr>
        </w:r>
        <w:r w:rsidR="000755CD">
          <w:rPr>
            <w:noProof/>
            <w:webHidden/>
          </w:rPr>
          <w:fldChar w:fldCharType="separate"/>
        </w:r>
        <w:r w:rsidR="002570DE">
          <w:rPr>
            <w:noProof/>
            <w:webHidden/>
          </w:rPr>
          <w:t>36</w:t>
        </w:r>
        <w:r w:rsidR="000755CD">
          <w:rPr>
            <w:noProof/>
            <w:webHidden/>
          </w:rPr>
          <w:fldChar w:fldCharType="end"/>
        </w:r>
      </w:hyperlink>
    </w:p>
    <w:p w:rsidR="0067073E" w:rsidRDefault="0067073E">
      <w:r>
        <w:rPr>
          <w:b/>
          <w:bCs/>
        </w:rPr>
        <w:fldChar w:fldCharType="end"/>
      </w:r>
    </w:p>
    <w:p w:rsidR="0067073E" w:rsidRDefault="0067073E" w:rsidP="00AC3726">
      <w:pPr>
        <w:spacing w:before="120" w:after="120"/>
        <w:jc w:val="both"/>
        <w:rPr>
          <w:rFonts w:ascii="Arial" w:hAnsi="Arial" w:cs="Arial"/>
          <w:b/>
          <w:sz w:val="20"/>
          <w:szCs w:val="20"/>
          <w:u w:val="single"/>
        </w:rPr>
      </w:pPr>
    </w:p>
    <w:p w:rsidR="00163B17" w:rsidRDefault="00163B17">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AC3726" w:rsidRPr="009812F7" w:rsidTr="00BB5A64">
        <w:tc>
          <w:tcPr>
            <w:tcW w:w="9212" w:type="dxa"/>
            <w:tcBorders>
              <w:bottom w:val="single" w:sz="4" w:space="0" w:color="FFFFFF"/>
            </w:tcBorders>
            <w:shd w:val="clear" w:color="auto" w:fill="1F497D"/>
          </w:tcPr>
          <w:p w:rsidR="00AC3726" w:rsidRPr="0067653D" w:rsidRDefault="0067073E" w:rsidP="00FD2826">
            <w:pPr>
              <w:spacing w:before="120" w:after="120"/>
              <w:jc w:val="center"/>
              <w:rPr>
                <w:rFonts w:ascii="Arial" w:hAnsi="Arial" w:cs="Arial"/>
                <w:i/>
                <w:sz w:val="20"/>
                <w:szCs w:val="20"/>
              </w:rPr>
            </w:pPr>
            <w:r>
              <w:rPr>
                <w:rFonts w:ascii="Arial" w:hAnsi="Arial" w:cs="Arial"/>
                <w:b/>
                <w:sz w:val="20"/>
                <w:szCs w:val="20"/>
                <w:u w:val="single"/>
              </w:rPr>
              <w:lastRenderedPageBreak/>
              <w:br w:type="page"/>
            </w:r>
            <w:r w:rsidR="00AC3726" w:rsidRPr="00BB5A64">
              <w:rPr>
                <w:rFonts w:ascii="Arial" w:hAnsi="Arial" w:cs="Arial"/>
                <w:b/>
                <w:color w:val="FFFFFF"/>
                <w:sz w:val="20"/>
                <w:szCs w:val="20"/>
              </w:rPr>
              <w:t xml:space="preserve">Informacje na temat ustanowienia ram wykonania </w:t>
            </w:r>
          </w:p>
        </w:tc>
      </w:tr>
      <w:tr w:rsidR="00AC3726" w:rsidRPr="009812F7" w:rsidTr="00F8055F">
        <w:tc>
          <w:tcPr>
            <w:tcW w:w="9212" w:type="dxa"/>
            <w:shd w:val="clear" w:color="auto" w:fill="FFFFFF"/>
          </w:tcPr>
          <w:p w:rsidR="00AC3726" w:rsidRPr="009812F7" w:rsidRDefault="00AC3726" w:rsidP="00BB5A64">
            <w:pPr>
              <w:spacing w:after="0" w:line="240" w:lineRule="auto"/>
              <w:jc w:val="both"/>
              <w:rPr>
                <w:b/>
              </w:rPr>
            </w:pPr>
          </w:p>
        </w:tc>
      </w:tr>
      <w:tr w:rsidR="00AC3726" w:rsidRPr="009812F7" w:rsidTr="00BB5A64">
        <w:tc>
          <w:tcPr>
            <w:tcW w:w="9212" w:type="dxa"/>
            <w:shd w:val="clear" w:color="auto" w:fill="auto"/>
          </w:tcPr>
          <w:p w:rsidR="00AC3726" w:rsidRPr="009812F7" w:rsidRDefault="00AC3726" w:rsidP="00BB5A64">
            <w:pPr>
              <w:keepNext/>
              <w:shd w:val="clear" w:color="auto" w:fill="1F497D"/>
              <w:spacing w:before="240" w:after="60"/>
              <w:outlineLvl w:val="0"/>
              <w:rPr>
                <w:b/>
              </w:rPr>
            </w:pPr>
            <w:bookmarkStart w:id="1" w:name="_Toc401825897"/>
            <w:r w:rsidRPr="0067073E">
              <w:rPr>
                <w:rFonts w:ascii="Cambria" w:eastAsia="Times New Roman" w:hAnsi="Cambria"/>
                <w:b/>
                <w:color w:val="FFFFFF"/>
              </w:rPr>
              <w:t>I. Część ogólna dotycząca całego programu</w:t>
            </w:r>
            <w:bookmarkEnd w:id="1"/>
          </w:p>
        </w:tc>
      </w:tr>
    </w:tbl>
    <w:p w:rsidR="00551305" w:rsidRPr="00CA21F3" w:rsidRDefault="00AC3726" w:rsidP="00597BF5">
      <w:pPr>
        <w:spacing w:before="120" w:after="120"/>
        <w:jc w:val="both"/>
        <w:rPr>
          <w:rFonts w:cs="Calibri"/>
          <w:b/>
          <w:bCs/>
          <w:i/>
          <w:color w:val="1F497D"/>
          <w:sz w:val="20"/>
          <w:szCs w:val="20"/>
          <w:lang w:eastAsia="pl-PL"/>
        </w:rPr>
      </w:pPr>
      <w:r w:rsidRPr="00597BF5">
        <w:rPr>
          <w:sz w:val="20"/>
          <w:szCs w:val="20"/>
        </w:rPr>
        <w:t xml:space="preserve">Informacje o tym, w jaki sposób zastosowano metodykę i mechanizmy zapewniające spójność                                     w funkcjonowaniu ram wykonania, określone w umowie partnerstwa zgodnie z art. 15 ust. 1 lit. b) </w:t>
      </w:r>
      <w:proofErr w:type="spellStart"/>
      <w:r w:rsidRPr="00597BF5">
        <w:rPr>
          <w:sz w:val="20"/>
          <w:szCs w:val="20"/>
        </w:rPr>
        <w:t>ppkt</w:t>
      </w:r>
      <w:proofErr w:type="spellEnd"/>
      <w:r w:rsidRPr="00597BF5">
        <w:rPr>
          <w:sz w:val="20"/>
          <w:szCs w:val="20"/>
        </w:rPr>
        <w:t xml:space="preserve"> (iv) rozporządzenia (UE) nr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AC3726" w:rsidRPr="009812F7" w:rsidTr="00597BF5">
        <w:tc>
          <w:tcPr>
            <w:tcW w:w="9212" w:type="dxa"/>
            <w:shd w:val="clear" w:color="auto" w:fill="auto"/>
          </w:tcPr>
          <w:p w:rsidR="00AF4783" w:rsidRPr="00597BF5" w:rsidRDefault="00AF4783" w:rsidP="00597BF5">
            <w:pPr>
              <w:jc w:val="both"/>
              <w:rPr>
                <w:rFonts w:cs="Calibri"/>
                <w:sz w:val="20"/>
                <w:szCs w:val="20"/>
              </w:rPr>
            </w:pPr>
            <w:r w:rsidRPr="00597BF5">
              <w:rPr>
                <w:rFonts w:cs="Calibri"/>
                <w:sz w:val="20"/>
                <w:szCs w:val="20"/>
              </w:rPr>
              <w:t>Ramy wykonania do Programu Operacyjnego Polska Cyfrowa zostały opracowane z</w:t>
            </w:r>
            <w:r w:rsidR="00711648">
              <w:rPr>
                <w:rFonts w:cs="Calibri"/>
                <w:sz w:val="20"/>
                <w:szCs w:val="20"/>
              </w:rPr>
              <w:t xml:space="preserve"> </w:t>
            </w:r>
            <w:r w:rsidRPr="00597BF5">
              <w:rPr>
                <w:rFonts w:cs="Calibri"/>
                <w:sz w:val="20"/>
                <w:szCs w:val="20"/>
              </w:rPr>
              <w:t>uwzględnieniem mechanizmów i zaleceń horyzontalnych, mających na celu zapewnienie odpowiedniego poziomu spójności z innymi programami operacyjnymi, tzn.:</w:t>
            </w:r>
          </w:p>
          <w:p w:rsidR="00AF4783" w:rsidRPr="00597BF5" w:rsidRDefault="00AF4783" w:rsidP="00597BF5">
            <w:pPr>
              <w:numPr>
                <w:ilvl w:val="0"/>
                <w:numId w:val="17"/>
              </w:numPr>
              <w:ind w:left="284" w:hanging="284"/>
              <w:jc w:val="both"/>
              <w:rPr>
                <w:rFonts w:cs="Calibri"/>
                <w:sz w:val="20"/>
                <w:szCs w:val="20"/>
              </w:rPr>
            </w:pPr>
            <w:r w:rsidRPr="00597BF5">
              <w:rPr>
                <w:rFonts w:cs="Calibri"/>
                <w:sz w:val="20"/>
                <w:szCs w:val="20"/>
              </w:rPr>
              <w:t>Informacje dotyczące wyboru wskaźników, szacowania ich wartości oraz innych czynników mających wpływ na osiągnięcie celów pośrednich i końcowych zostały przedstawione w niniejszym załączniku do programu operacyjnego, zgodnie ze wzorem opracowanym przez MIR i obowiązującym wszystkie programy operacyjne.</w:t>
            </w:r>
          </w:p>
          <w:p w:rsidR="00AF4783" w:rsidRPr="00597BF5" w:rsidRDefault="00AF4783" w:rsidP="00597BF5">
            <w:pPr>
              <w:numPr>
                <w:ilvl w:val="0"/>
                <w:numId w:val="17"/>
              </w:numPr>
              <w:ind w:left="284" w:hanging="284"/>
              <w:jc w:val="both"/>
              <w:rPr>
                <w:rFonts w:cs="Calibri"/>
                <w:sz w:val="20"/>
                <w:szCs w:val="20"/>
              </w:rPr>
            </w:pPr>
            <w:r w:rsidRPr="00597BF5">
              <w:rPr>
                <w:rFonts w:cs="Calibri"/>
                <w:sz w:val="20"/>
                <w:szCs w:val="20"/>
              </w:rPr>
              <w:t xml:space="preserve">Przedstawione w ramach wykonania wartości pośrednie odzwierciedlają taki etap realizacji osi priorytetowych, którego osiągnięcie na koniec 2018 r. umożliwi osiągnięcie również wartości końcowych na koniec 2023 r., zgodnie z posiadaną w momencie programowania wiedzą o istotnych czynnikach mających wpływ na proces wdrażania oraz z danymi historycznymi dotyczącymi cyklu i kosztów realizacji odpowiednich typów projektów. </w:t>
            </w:r>
          </w:p>
          <w:p w:rsidR="00AF4783" w:rsidRPr="00597BF5" w:rsidRDefault="00AF4783" w:rsidP="00597BF5">
            <w:pPr>
              <w:numPr>
                <w:ilvl w:val="0"/>
                <w:numId w:val="17"/>
              </w:numPr>
              <w:ind w:left="284" w:hanging="284"/>
              <w:jc w:val="both"/>
              <w:rPr>
                <w:rFonts w:cs="Calibri"/>
                <w:sz w:val="20"/>
                <w:szCs w:val="20"/>
              </w:rPr>
            </w:pPr>
            <w:r w:rsidRPr="00597BF5">
              <w:rPr>
                <w:rFonts w:cs="Calibri"/>
                <w:sz w:val="20"/>
                <w:szCs w:val="20"/>
              </w:rPr>
              <w:t xml:space="preserve">Wszystkie elementy ram wykonania (tj. wskaźniki produktu, ewentualne KEW oraz wskaźniki finansowe) uwzględniają podział na fundusze oraz – w przypadku EFRR i EFS – na regiony słabiej i lepiej rozwinięte. W tym drugim przypadku, podział na kategorie regionów w osiach EFRR i EFS jest uzależniony od tego, czy jest to oś standardowa czy „pro rata” (różnice między nimi zostały wyjaśnione w umowie partnerstwa). </w:t>
            </w:r>
          </w:p>
          <w:p w:rsidR="00AF4783" w:rsidRDefault="00AF4783" w:rsidP="00597BF5">
            <w:pPr>
              <w:numPr>
                <w:ilvl w:val="0"/>
                <w:numId w:val="17"/>
              </w:numPr>
              <w:ind w:left="284" w:hanging="284"/>
              <w:jc w:val="both"/>
              <w:rPr>
                <w:rFonts w:cs="Calibri"/>
                <w:sz w:val="20"/>
                <w:szCs w:val="20"/>
              </w:rPr>
            </w:pPr>
            <w:r w:rsidRPr="00597BF5">
              <w:rPr>
                <w:rFonts w:cs="Calibri"/>
                <w:b/>
                <w:sz w:val="20"/>
                <w:szCs w:val="20"/>
              </w:rPr>
              <w:t>Wskaźnik finansowy</w:t>
            </w:r>
            <w:r w:rsidRPr="00597BF5">
              <w:rPr>
                <w:rFonts w:cs="Calibri"/>
                <w:sz w:val="20"/>
                <w:szCs w:val="20"/>
              </w:rPr>
              <w:t xml:space="preserve"> – wszystkie PO stosują jedną nazwę wskaźnika – „całkowita kwota certyfikowanych wydatków kwalifikowalnych” – a jego wartości pośrednie i końcowe przedstawiono w EUR. W celu oszacowania celów pośrednich dla poszczególnych osi priorytetowych każdy PO zastosował poniższy algorytm w celu określenia minimalnego poziomu certyfikacji na koniec 2018 r.</w:t>
            </w:r>
            <w:r w:rsidR="00164787">
              <w:rPr>
                <w:rFonts w:cs="Calibri"/>
                <w:sz w:val="20"/>
                <w:szCs w:val="20"/>
              </w:rPr>
              <w:t xml:space="preserve">, zaktualizowany w 2017 roku w związku ze </w:t>
            </w:r>
            <w:proofErr w:type="spellStart"/>
            <w:r w:rsidR="00164787">
              <w:rPr>
                <w:rFonts w:cs="Calibri"/>
                <w:sz w:val="20"/>
                <w:szCs w:val="20"/>
              </w:rPr>
              <w:t>zmaną</w:t>
            </w:r>
            <w:proofErr w:type="spellEnd"/>
            <w:r w:rsidR="00164787">
              <w:rPr>
                <w:rFonts w:cs="Calibri"/>
                <w:sz w:val="20"/>
                <w:szCs w:val="20"/>
              </w:rPr>
              <w:t xml:space="preserve"> metodologii wyznaczania kwot dla celu N+3</w:t>
            </w:r>
            <w:r w:rsidRPr="00597BF5">
              <w:rPr>
                <w:rFonts w:cs="Calibri"/>
                <w:sz w:val="20"/>
                <w:szCs w:val="20"/>
              </w:rPr>
              <w:t>:</w:t>
            </w:r>
          </w:p>
          <w:p w:rsidR="00356E96" w:rsidRDefault="00356E96" w:rsidP="00356E96">
            <w:pPr>
              <w:pStyle w:val="Legenda"/>
            </w:pPr>
            <w:bookmarkStart w:id="2" w:name="_Toc401826754"/>
            <w:r>
              <w:t xml:space="preserve">Tabela </w:t>
            </w:r>
            <w:r w:rsidR="00050B55">
              <w:fldChar w:fldCharType="begin"/>
            </w:r>
            <w:r w:rsidR="00050B55">
              <w:instrText xml:space="preserve"> SEQ Tabela \* ARABIC </w:instrText>
            </w:r>
            <w:r w:rsidR="00050B55">
              <w:fldChar w:fldCharType="separate"/>
            </w:r>
            <w:r w:rsidR="002570DE">
              <w:rPr>
                <w:noProof/>
              </w:rPr>
              <w:t>1</w:t>
            </w:r>
            <w:r w:rsidR="00050B55">
              <w:rPr>
                <w:noProof/>
              </w:rPr>
              <w:fldChar w:fldCharType="end"/>
            </w:r>
            <w:r w:rsidR="00500075">
              <w:t xml:space="preserve"> </w:t>
            </w:r>
            <w:r>
              <w:t xml:space="preserve">- </w:t>
            </w:r>
            <w:r w:rsidR="00946CB8">
              <w:t>Z</w:t>
            </w:r>
            <w:r>
              <w:t>astosowanie algorytmu do określenia minimalnego poziomu certyfikacji na koniec 2018 r.</w:t>
            </w:r>
            <w:bookmarkEnd w:id="2"/>
            <w: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2"/>
              <w:gridCol w:w="3578"/>
              <w:gridCol w:w="4786"/>
            </w:tblGrid>
            <w:tr w:rsidR="00AF4783" w:rsidRPr="00EB2F51" w:rsidTr="00597BF5">
              <w:tc>
                <w:tcPr>
                  <w:tcW w:w="4140" w:type="dxa"/>
                  <w:gridSpan w:val="2"/>
                  <w:shd w:val="clear" w:color="auto" w:fill="C6D9F1"/>
                </w:tcPr>
                <w:p w:rsidR="00AF4783" w:rsidRPr="00EB2F51" w:rsidRDefault="00AF4783" w:rsidP="002920DB">
                  <w:pPr>
                    <w:spacing w:before="120"/>
                    <w:jc w:val="center"/>
                    <w:rPr>
                      <w:rFonts w:cs="EUAlbertina"/>
                      <w:b/>
                      <w:sz w:val="20"/>
                      <w:szCs w:val="20"/>
                    </w:rPr>
                  </w:pPr>
                  <w:r w:rsidRPr="00EB2F51">
                    <w:rPr>
                      <w:rFonts w:cs="EUAlbertina"/>
                      <w:b/>
                      <w:sz w:val="20"/>
                      <w:szCs w:val="20"/>
                    </w:rPr>
                    <w:t>Krok</w:t>
                  </w:r>
                </w:p>
              </w:tc>
              <w:tc>
                <w:tcPr>
                  <w:tcW w:w="4786" w:type="dxa"/>
                  <w:shd w:val="clear" w:color="auto" w:fill="C6D9F1"/>
                </w:tcPr>
                <w:p w:rsidR="00AF4783" w:rsidRPr="00EB2F51" w:rsidRDefault="00E4085D" w:rsidP="002920DB">
                  <w:pPr>
                    <w:spacing w:before="120"/>
                    <w:jc w:val="center"/>
                    <w:rPr>
                      <w:rFonts w:cs="EUAlbertina"/>
                      <w:b/>
                      <w:sz w:val="20"/>
                      <w:szCs w:val="20"/>
                    </w:rPr>
                  </w:pPr>
                  <w:r w:rsidRPr="00EB2F51">
                    <w:rPr>
                      <w:rFonts w:cs="EUAlbertina"/>
                      <w:b/>
                      <w:sz w:val="20"/>
                      <w:szCs w:val="20"/>
                    </w:rPr>
                    <w:t>A</w:t>
                  </w:r>
                  <w:r w:rsidR="00AF4783" w:rsidRPr="00EB2F51">
                    <w:rPr>
                      <w:rFonts w:cs="EUAlbertina"/>
                      <w:b/>
                      <w:sz w:val="20"/>
                      <w:szCs w:val="20"/>
                    </w:rPr>
                    <w:t>lgorytm</w:t>
                  </w:r>
                </w:p>
              </w:tc>
            </w:tr>
            <w:tr w:rsidR="00AF4783" w:rsidRPr="00EB2F51" w:rsidTr="00597BF5">
              <w:tc>
                <w:tcPr>
                  <w:tcW w:w="562" w:type="dxa"/>
                  <w:shd w:val="clear" w:color="auto" w:fill="D9D9D9"/>
                </w:tcPr>
                <w:p w:rsidR="00AF4783" w:rsidRPr="00EB2F51" w:rsidRDefault="00AF4783" w:rsidP="002920DB">
                  <w:pPr>
                    <w:spacing w:before="120"/>
                    <w:jc w:val="center"/>
                    <w:rPr>
                      <w:rFonts w:cs="EUAlbertina"/>
                      <w:b/>
                      <w:sz w:val="20"/>
                      <w:szCs w:val="20"/>
                    </w:rPr>
                  </w:pPr>
                  <w:r w:rsidRPr="00EB2F51">
                    <w:rPr>
                      <w:rFonts w:cs="EUAlbertina"/>
                      <w:b/>
                      <w:sz w:val="20"/>
                      <w:szCs w:val="20"/>
                    </w:rPr>
                    <w:t>1</w:t>
                  </w:r>
                </w:p>
              </w:tc>
              <w:tc>
                <w:tcPr>
                  <w:tcW w:w="3578" w:type="dxa"/>
                  <w:shd w:val="clear" w:color="auto" w:fill="D9D9D9"/>
                </w:tcPr>
                <w:p w:rsidR="00AF4783" w:rsidRPr="00EB2F51" w:rsidRDefault="00AF4783" w:rsidP="002920DB">
                  <w:pPr>
                    <w:spacing w:before="120"/>
                    <w:jc w:val="center"/>
                    <w:rPr>
                      <w:rFonts w:cs="EUAlbertina"/>
                      <w:sz w:val="20"/>
                      <w:szCs w:val="20"/>
                    </w:rPr>
                  </w:pPr>
                  <w:r w:rsidRPr="00EB2F51">
                    <w:rPr>
                      <w:rFonts w:cs="EUAlbertina"/>
                      <w:sz w:val="20"/>
                      <w:szCs w:val="20"/>
                    </w:rPr>
                    <w:t xml:space="preserve">Obliczenie minimalnej kwoty środków unijnych, które muszą być wykorzystane w ramach całego programu operacyjnego do końca 2018 r., (obliczenia oddzielnie dla każdego </w:t>
                  </w:r>
                  <w:r w:rsidRPr="003A14E0">
                    <w:rPr>
                      <w:rFonts w:cs="EUAlbertina"/>
                      <w:sz w:val="20"/>
                      <w:szCs w:val="20"/>
                    </w:rPr>
                    <w:t>funduszu i – w przypadku EFRR i EFS –kategorii regionów</w:t>
                  </w:r>
                  <w:r w:rsidRPr="00EB2F51">
                    <w:rPr>
                      <w:rFonts w:cs="EUAlbertina"/>
                      <w:sz w:val="20"/>
                      <w:szCs w:val="20"/>
                    </w:rPr>
                    <w:t>).</w:t>
                  </w:r>
                </w:p>
              </w:tc>
              <w:tc>
                <w:tcPr>
                  <w:tcW w:w="4786" w:type="dxa"/>
                  <w:shd w:val="clear" w:color="auto" w:fill="auto"/>
                </w:tcPr>
                <w:p w:rsidR="00AF4783" w:rsidRPr="00EB2F51" w:rsidRDefault="00AF4783" w:rsidP="003D180B">
                  <w:pPr>
                    <w:spacing w:before="120"/>
                    <w:jc w:val="center"/>
                    <w:rPr>
                      <w:rFonts w:cs="EUAlbertina"/>
                      <w:sz w:val="20"/>
                      <w:szCs w:val="20"/>
                    </w:rPr>
                  </w:pPr>
                  <w:r w:rsidRPr="00EB2F51">
                    <w:rPr>
                      <w:rFonts w:cs="EUAlbertina"/>
                      <w:sz w:val="20"/>
                      <w:szCs w:val="20"/>
                    </w:rPr>
                    <w:t xml:space="preserve">(alokacja unijna PO na 2014 - rezerwa PO na 2014) + (alokacja unijna PO na 2015 - rezerwa PO na2015) - zaliczki początkowe (tzn. łącznie 3% * 94% alokacji unijnej dla PO) </w:t>
                  </w:r>
                  <w:r w:rsidR="003D180B">
                    <w:rPr>
                      <w:rFonts w:cs="EUAlbertina"/>
                      <w:sz w:val="20"/>
                      <w:szCs w:val="20"/>
                    </w:rPr>
                    <w:t>–</w:t>
                  </w:r>
                  <w:r w:rsidRPr="00EB2F51">
                    <w:rPr>
                      <w:rFonts w:cs="EUAlbertina"/>
                      <w:sz w:val="20"/>
                      <w:szCs w:val="20"/>
                    </w:rPr>
                    <w:t xml:space="preserve"> </w:t>
                  </w:r>
                  <w:r w:rsidR="003D180B">
                    <w:rPr>
                      <w:rFonts w:cs="EUAlbertina"/>
                      <w:sz w:val="20"/>
                      <w:szCs w:val="20"/>
                    </w:rPr>
                    <w:t xml:space="preserve">suma </w:t>
                  </w:r>
                  <w:r w:rsidRPr="00EB2F51">
                    <w:rPr>
                      <w:rFonts w:cs="EUAlbertina"/>
                      <w:sz w:val="20"/>
                      <w:szCs w:val="20"/>
                    </w:rPr>
                    <w:t>zalicz</w:t>
                  </w:r>
                  <w:r w:rsidR="003D180B">
                    <w:rPr>
                      <w:rFonts w:cs="EUAlbertina"/>
                      <w:sz w:val="20"/>
                      <w:szCs w:val="20"/>
                    </w:rPr>
                    <w:t>e</w:t>
                  </w:r>
                  <w:r w:rsidRPr="00EB2F51">
                    <w:rPr>
                      <w:rFonts w:cs="EUAlbertina"/>
                      <w:sz w:val="20"/>
                      <w:szCs w:val="20"/>
                    </w:rPr>
                    <w:t>k roczn</w:t>
                  </w:r>
                  <w:r w:rsidR="003D180B">
                    <w:rPr>
                      <w:rFonts w:cs="EUAlbertina"/>
                      <w:sz w:val="20"/>
                      <w:szCs w:val="20"/>
                    </w:rPr>
                    <w:t>ych</w:t>
                  </w:r>
                  <w:r w:rsidRPr="00EB2F51">
                    <w:rPr>
                      <w:rFonts w:cs="EUAlbertina"/>
                      <w:sz w:val="20"/>
                      <w:szCs w:val="20"/>
                    </w:rPr>
                    <w:t xml:space="preserve"> d</w:t>
                  </w:r>
                  <w:r w:rsidR="003D180B">
                    <w:rPr>
                      <w:rFonts w:cs="EUAlbertina"/>
                      <w:sz w:val="20"/>
                      <w:szCs w:val="20"/>
                    </w:rPr>
                    <w:t>o</w:t>
                  </w:r>
                  <w:r w:rsidRPr="00EB2F51">
                    <w:rPr>
                      <w:rFonts w:cs="EUAlbertina"/>
                      <w:sz w:val="20"/>
                      <w:szCs w:val="20"/>
                    </w:rPr>
                    <w:t xml:space="preserve"> 2018 (</w:t>
                  </w:r>
                  <w:r w:rsidR="003D180B">
                    <w:rPr>
                      <w:rFonts w:cs="EUAlbertina"/>
                      <w:sz w:val="20"/>
                      <w:szCs w:val="20"/>
                    </w:rPr>
                    <w:t xml:space="preserve">2,00% * 94% alokacji unijnej + 2,625% * 94% alokacji unijnej + </w:t>
                  </w:r>
                  <w:r w:rsidRPr="00EB2F51">
                    <w:rPr>
                      <w:rFonts w:cs="EUAlbertina"/>
                      <w:sz w:val="20"/>
                      <w:szCs w:val="20"/>
                    </w:rPr>
                    <w:t>2,75% * 94% alokacji unijnej P</w:t>
                  </w:r>
                  <w:r>
                    <w:rPr>
                      <w:rFonts w:cs="EUAlbertina"/>
                      <w:sz w:val="20"/>
                      <w:szCs w:val="20"/>
                    </w:rPr>
                    <w:t>O) = minimalna kwota wniosków o </w:t>
                  </w:r>
                  <w:r w:rsidRPr="00EB2F51">
                    <w:rPr>
                      <w:rFonts w:cs="EUAlbertina"/>
                      <w:sz w:val="20"/>
                      <w:szCs w:val="20"/>
                    </w:rPr>
                    <w:t xml:space="preserve">płatność w części wkładu przesłanych do KE na koniec 2018 r. </w:t>
                  </w:r>
                </w:p>
              </w:tc>
            </w:tr>
            <w:tr w:rsidR="00AF4783" w:rsidRPr="00EB2F51" w:rsidTr="00597BF5">
              <w:tc>
                <w:tcPr>
                  <w:tcW w:w="562" w:type="dxa"/>
                  <w:shd w:val="clear" w:color="auto" w:fill="D9D9D9"/>
                </w:tcPr>
                <w:p w:rsidR="00AF4783" w:rsidRPr="00EB2F51" w:rsidRDefault="00AF4783" w:rsidP="002920DB">
                  <w:pPr>
                    <w:spacing w:before="120"/>
                    <w:jc w:val="center"/>
                    <w:rPr>
                      <w:rFonts w:cs="EUAlbertina"/>
                      <w:b/>
                      <w:sz w:val="20"/>
                      <w:szCs w:val="20"/>
                    </w:rPr>
                  </w:pPr>
                  <w:r w:rsidRPr="00EB2F51">
                    <w:rPr>
                      <w:rFonts w:cs="EUAlbertina"/>
                      <w:b/>
                      <w:sz w:val="20"/>
                      <w:szCs w:val="20"/>
                    </w:rPr>
                    <w:t>2</w:t>
                  </w:r>
                </w:p>
              </w:tc>
              <w:tc>
                <w:tcPr>
                  <w:tcW w:w="3578" w:type="dxa"/>
                  <w:shd w:val="clear" w:color="auto" w:fill="D9D9D9"/>
                </w:tcPr>
                <w:p w:rsidR="00AF4783" w:rsidRPr="00EB2F51" w:rsidRDefault="00AF4783" w:rsidP="002920DB">
                  <w:pPr>
                    <w:spacing w:before="120"/>
                    <w:jc w:val="center"/>
                    <w:rPr>
                      <w:rFonts w:cs="EUAlbertina"/>
                      <w:sz w:val="20"/>
                      <w:szCs w:val="20"/>
                    </w:rPr>
                  </w:pPr>
                  <w:r w:rsidRPr="00EB2F51">
                    <w:rPr>
                      <w:rFonts w:cs="EUAlbertina"/>
                      <w:sz w:val="20"/>
                      <w:szCs w:val="20"/>
                    </w:rPr>
                    <w:t xml:space="preserve">Obliczenie kwoty całkowitych wydatków kwalifikowalnych, które muszą zostać certyfikowane dla całego programu na </w:t>
                  </w:r>
                  <w:r w:rsidRPr="00EB2F51">
                    <w:rPr>
                      <w:rFonts w:cs="EUAlbertina"/>
                      <w:sz w:val="20"/>
                      <w:szCs w:val="20"/>
                    </w:rPr>
                    <w:lastRenderedPageBreak/>
                    <w:t>koniec 2018 r.</w:t>
                  </w:r>
                </w:p>
              </w:tc>
              <w:tc>
                <w:tcPr>
                  <w:tcW w:w="4786" w:type="dxa"/>
                  <w:shd w:val="clear" w:color="auto" w:fill="auto"/>
                </w:tcPr>
                <w:p w:rsidR="00AF4783" w:rsidRPr="00EB2F51" w:rsidRDefault="00AF4783" w:rsidP="002920DB">
                  <w:pPr>
                    <w:spacing w:before="120"/>
                    <w:jc w:val="center"/>
                    <w:rPr>
                      <w:rFonts w:cs="EUAlbertina"/>
                      <w:sz w:val="20"/>
                      <w:szCs w:val="20"/>
                    </w:rPr>
                  </w:pPr>
                  <w:r w:rsidRPr="00EB2F51">
                    <w:rPr>
                      <w:rFonts w:cs="EUAlbertina"/>
                      <w:sz w:val="20"/>
                      <w:szCs w:val="20"/>
                    </w:rPr>
                    <w:lastRenderedPageBreak/>
                    <w:t xml:space="preserve">Pełna kwota całkowitych wydatków kwalifikowalnych, które muszą zostać certyfikowane na koniec 2018 r. = </w:t>
                  </w:r>
                  <w:r w:rsidRPr="00EB2F51">
                    <w:rPr>
                      <w:rFonts w:cs="EUAlbertina"/>
                      <w:sz w:val="20"/>
                      <w:szCs w:val="20"/>
                    </w:rPr>
                    <w:lastRenderedPageBreak/>
                    <w:t xml:space="preserve">wynik kroku 1: 0,85 (lub 0,80 dla </w:t>
                  </w:r>
                  <w:proofErr w:type="spellStart"/>
                  <w:r w:rsidRPr="00EB2F51">
                    <w:rPr>
                      <w:rFonts w:cs="EUAlbertina"/>
                      <w:sz w:val="20"/>
                      <w:szCs w:val="20"/>
                    </w:rPr>
                    <w:t>Mazowsz</w:t>
                  </w:r>
                  <w:proofErr w:type="spellEnd"/>
                  <w:r w:rsidRPr="00EB2F51">
                    <w:rPr>
                      <w:rFonts w:cs="EUAlbertina"/>
                      <w:sz w:val="20"/>
                      <w:szCs w:val="20"/>
                    </w:rPr>
                    <w:cr/>
                  </w:r>
                  <w:r w:rsidR="00A725E0">
                    <w:rPr>
                      <w:rFonts w:cs="EUAlbertina"/>
                      <w:sz w:val="20"/>
                      <w:szCs w:val="20"/>
                    </w:rPr>
                    <w:t>a</w:t>
                  </w:r>
                  <w:r w:rsidRPr="00EB2F51">
                    <w:rPr>
                      <w:rFonts w:cs="EUAlbertina"/>
                      <w:sz w:val="20"/>
                      <w:szCs w:val="20"/>
                    </w:rPr>
                    <w:t>)</w:t>
                  </w:r>
                </w:p>
              </w:tc>
            </w:tr>
            <w:tr w:rsidR="00AF4783" w:rsidRPr="00EB2F51" w:rsidTr="00597BF5">
              <w:tc>
                <w:tcPr>
                  <w:tcW w:w="562" w:type="dxa"/>
                  <w:shd w:val="clear" w:color="auto" w:fill="D9D9D9"/>
                </w:tcPr>
                <w:p w:rsidR="00AF4783" w:rsidRPr="00EB2F51" w:rsidRDefault="00AF4783" w:rsidP="002920DB">
                  <w:pPr>
                    <w:spacing w:before="120"/>
                    <w:jc w:val="center"/>
                    <w:rPr>
                      <w:rFonts w:cs="EUAlbertina"/>
                      <w:b/>
                      <w:sz w:val="20"/>
                      <w:szCs w:val="20"/>
                    </w:rPr>
                  </w:pPr>
                  <w:r w:rsidRPr="00EB2F51">
                    <w:rPr>
                      <w:rFonts w:cs="EUAlbertina"/>
                      <w:b/>
                      <w:sz w:val="20"/>
                      <w:szCs w:val="20"/>
                    </w:rPr>
                    <w:lastRenderedPageBreak/>
                    <w:t>3</w:t>
                  </w:r>
                </w:p>
              </w:tc>
              <w:tc>
                <w:tcPr>
                  <w:tcW w:w="3578" w:type="dxa"/>
                  <w:shd w:val="clear" w:color="auto" w:fill="D9D9D9"/>
                </w:tcPr>
                <w:p w:rsidR="00AF4783" w:rsidRPr="00EB2F51" w:rsidRDefault="00AF4783" w:rsidP="002920DB">
                  <w:pPr>
                    <w:spacing w:before="120"/>
                    <w:jc w:val="center"/>
                    <w:rPr>
                      <w:rFonts w:cs="EUAlbertina"/>
                      <w:sz w:val="20"/>
                      <w:szCs w:val="20"/>
                    </w:rPr>
                  </w:pPr>
                  <w:r w:rsidRPr="00EB2F51">
                    <w:rPr>
                      <w:rFonts w:cs="EUAlbertina"/>
                      <w:sz w:val="20"/>
                      <w:szCs w:val="20"/>
                    </w:rPr>
                    <w:t>Odliczenie pomocy technicznej (dotyczy tylko funduszu, z którego finansowana jest pomoc techniczna)</w:t>
                  </w:r>
                </w:p>
              </w:tc>
              <w:tc>
                <w:tcPr>
                  <w:tcW w:w="4786" w:type="dxa"/>
                  <w:shd w:val="clear" w:color="auto" w:fill="auto"/>
                </w:tcPr>
                <w:p w:rsidR="00AF4783" w:rsidRPr="00EB2F51" w:rsidRDefault="00AF4783" w:rsidP="002920DB">
                  <w:pPr>
                    <w:spacing w:before="120"/>
                    <w:jc w:val="center"/>
                    <w:rPr>
                      <w:rFonts w:cs="EUAlbertina"/>
                      <w:sz w:val="20"/>
                      <w:szCs w:val="20"/>
                    </w:rPr>
                  </w:pPr>
                  <w:r w:rsidRPr="00EB2F51">
                    <w:rPr>
                      <w:rFonts w:cs="EUAlbertina"/>
                      <w:sz w:val="20"/>
                      <w:szCs w:val="20"/>
                    </w:rPr>
                    <w:t xml:space="preserve">Całkowite wydatki </w:t>
                  </w:r>
                  <w:r>
                    <w:rPr>
                      <w:rFonts w:cs="EUAlbertina"/>
                      <w:sz w:val="20"/>
                      <w:szCs w:val="20"/>
                    </w:rPr>
                    <w:t>kwalifikowalne certyfikowane do </w:t>
                  </w:r>
                  <w:r w:rsidRPr="00EB2F51">
                    <w:rPr>
                      <w:rFonts w:cs="EUAlbertina"/>
                      <w:sz w:val="20"/>
                      <w:szCs w:val="20"/>
                    </w:rPr>
                    <w:t>końca 2018 r. dla zwykłych osi priorytetowych = wynik kroku 2 – oszacowane wydatki kwalifikowalne ce</w:t>
                  </w:r>
                  <w:r w:rsidR="00A725E0">
                    <w:rPr>
                      <w:rFonts w:cs="EUAlbertina"/>
                      <w:sz w:val="20"/>
                      <w:szCs w:val="20"/>
                    </w:rPr>
                    <w:t>r</w:t>
                  </w:r>
                  <w:r w:rsidRPr="00EB2F51">
                    <w:rPr>
                      <w:rFonts w:cs="EUAlbertina"/>
                      <w:sz w:val="20"/>
                      <w:szCs w:val="20"/>
                    </w:rPr>
                    <w:cr/>
                  </w:r>
                  <w:proofErr w:type="spellStart"/>
                  <w:r w:rsidRPr="00EB2F51">
                    <w:rPr>
                      <w:rFonts w:cs="EUAlbertina"/>
                      <w:sz w:val="20"/>
                      <w:szCs w:val="20"/>
                    </w:rPr>
                    <w:t>tyfikowane</w:t>
                  </w:r>
                  <w:proofErr w:type="spellEnd"/>
                  <w:r w:rsidRPr="00EB2F51">
                    <w:rPr>
                      <w:rFonts w:cs="EUAlbertina"/>
                      <w:sz w:val="20"/>
                      <w:szCs w:val="20"/>
                    </w:rPr>
                    <w:t xml:space="preserve"> na koniec 2018 r. dla osi pomocy technicznej</w:t>
                  </w:r>
                </w:p>
              </w:tc>
            </w:tr>
            <w:tr w:rsidR="00AF4783" w:rsidRPr="00EB2F51" w:rsidTr="00597BF5">
              <w:tc>
                <w:tcPr>
                  <w:tcW w:w="562" w:type="dxa"/>
                  <w:shd w:val="clear" w:color="auto" w:fill="D9D9D9"/>
                </w:tcPr>
                <w:p w:rsidR="00AF4783" w:rsidRPr="00EB2F51" w:rsidRDefault="00AF4783" w:rsidP="002920DB">
                  <w:pPr>
                    <w:spacing w:before="120"/>
                    <w:jc w:val="center"/>
                    <w:rPr>
                      <w:rFonts w:cs="EUAlbertina"/>
                      <w:b/>
                      <w:sz w:val="20"/>
                      <w:szCs w:val="20"/>
                    </w:rPr>
                  </w:pPr>
                  <w:r w:rsidRPr="00EB2F51">
                    <w:rPr>
                      <w:rFonts w:cs="EUAlbertina"/>
                      <w:b/>
                      <w:sz w:val="20"/>
                      <w:szCs w:val="20"/>
                    </w:rPr>
                    <w:t>4</w:t>
                  </w:r>
                </w:p>
              </w:tc>
              <w:tc>
                <w:tcPr>
                  <w:tcW w:w="8364" w:type="dxa"/>
                  <w:gridSpan w:val="2"/>
                  <w:shd w:val="clear" w:color="auto" w:fill="D9D9D9"/>
                </w:tcPr>
                <w:p w:rsidR="00AF4783" w:rsidRPr="00EB2F51" w:rsidRDefault="00AF4783" w:rsidP="002920DB">
                  <w:pPr>
                    <w:spacing w:before="120"/>
                    <w:jc w:val="center"/>
                    <w:rPr>
                      <w:rFonts w:cs="EUAlbertina"/>
                      <w:sz w:val="20"/>
                      <w:szCs w:val="20"/>
                    </w:rPr>
                  </w:pPr>
                  <w:r w:rsidRPr="00EB2F51">
                    <w:rPr>
                      <w:rFonts w:cs="EUAlbertina"/>
                      <w:sz w:val="20"/>
                      <w:szCs w:val="20"/>
                    </w:rPr>
                    <w:t>Rozłożenie otrzymanej kwoty po „zwykłych” osiach priorytetowych</w:t>
                  </w:r>
                  <w:r>
                    <w:rPr>
                      <w:rFonts w:cs="EUAlbertina"/>
                      <w:sz w:val="20"/>
                      <w:szCs w:val="20"/>
                    </w:rPr>
                    <w:t xml:space="preserve"> w zależności od specyficznego dla każdej z nich tempa certyfikacji</w:t>
                  </w:r>
                </w:p>
              </w:tc>
            </w:tr>
          </w:tbl>
          <w:p w:rsidR="00AF4783" w:rsidRDefault="00AF4783" w:rsidP="00597BF5">
            <w:pPr>
              <w:spacing w:before="100" w:beforeAutospacing="1" w:after="120" w:line="240" w:lineRule="auto"/>
              <w:jc w:val="both"/>
              <w:rPr>
                <w:rFonts w:cs="Calibri"/>
                <w:sz w:val="20"/>
                <w:szCs w:val="20"/>
              </w:rPr>
            </w:pPr>
            <w:r w:rsidRPr="00597BF5">
              <w:rPr>
                <w:rFonts w:cs="Calibri"/>
                <w:sz w:val="20"/>
                <w:szCs w:val="20"/>
              </w:rPr>
              <w:t xml:space="preserve">Podczas ustalania celu końcowego dla wskaźnika finansowego wykonano podobne działania w celu określenia minimalnego poziomu certyfikacji na koniec 2023 r., tzn.: </w:t>
            </w:r>
          </w:p>
          <w:p w:rsidR="00356E96" w:rsidRPr="00946CB8" w:rsidRDefault="00356E96" w:rsidP="00597BF5">
            <w:pPr>
              <w:pStyle w:val="Legenda"/>
            </w:pPr>
            <w:bookmarkStart w:id="3" w:name="_Toc401826755"/>
            <w:r>
              <w:t xml:space="preserve">Tabela </w:t>
            </w:r>
            <w:r w:rsidR="00050B55">
              <w:fldChar w:fldCharType="begin"/>
            </w:r>
            <w:r w:rsidR="00050B55">
              <w:instrText xml:space="preserve"> SEQ Tabela \* ARABIC </w:instrText>
            </w:r>
            <w:r w:rsidR="00050B55">
              <w:fldChar w:fldCharType="separate"/>
            </w:r>
            <w:r w:rsidR="002570DE">
              <w:rPr>
                <w:noProof/>
              </w:rPr>
              <w:t>2</w:t>
            </w:r>
            <w:r w:rsidR="00050B55">
              <w:rPr>
                <w:noProof/>
              </w:rPr>
              <w:fldChar w:fldCharType="end"/>
            </w:r>
            <w:r w:rsidR="00500075">
              <w:t xml:space="preserve"> </w:t>
            </w:r>
            <w:r>
              <w:t xml:space="preserve">- </w:t>
            </w:r>
            <w:r w:rsidR="00946CB8">
              <w:t>Z</w:t>
            </w:r>
            <w:r>
              <w:t>astosowanie algorytmu do określenia minimalnego poziomu certyfikacji na koniec 2023 r.</w:t>
            </w:r>
            <w:bookmarkEnd w:id="3"/>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2"/>
              <w:gridCol w:w="3578"/>
              <w:gridCol w:w="4786"/>
            </w:tblGrid>
            <w:tr w:rsidR="00AF4783" w:rsidRPr="003C4F61" w:rsidTr="00597BF5">
              <w:tc>
                <w:tcPr>
                  <w:tcW w:w="4140" w:type="dxa"/>
                  <w:gridSpan w:val="2"/>
                  <w:shd w:val="clear" w:color="auto" w:fill="C6D9F1"/>
                </w:tcPr>
                <w:p w:rsidR="00AF4783" w:rsidRPr="00804AB2" w:rsidRDefault="00AF4783" w:rsidP="002920DB">
                  <w:pPr>
                    <w:spacing w:before="120"/>
                    <w:jc w:val="center"/>
                    <w:rPr>
                      <w:rFonts w:cs="EUAlbertina"/>
                      <w:b/>
                      <w:sz w:val="20"/>
                      <w:szCs w:val="20"/>
                    </w:rPr>
                  </w:pPr>
                  <w:r w:rsidRPr="00804AB2">
                    <w:rPr>
                      <w:rFonts w:cs="EUAlbertina"/>
                      <w:b/>
                      <w:sz w:val="20"/>
                      <w:szCs w:val="20"/>
                    </w:rPr>
                    <w:t>Krok</w:t>
                  </w:r>
                </w:p>
              </w:tc>
              <w:tc>
                <w:tcPr>
                  <w:tcW w:w="4786" w:type="dxa"/>
                  <w:shd w:val="clear" w:color="auto" w:fill="C6D9F1"/>
                </w:tcPr>
                <w:p w:rsidR="00AF4783" w:rsidRPr="00804AB2" w:rsidRDefault="00AF4783" w:rsidP="002920DB">
                  <w:pPr>
                    <w:spacing w:before="120"/>
                    <w:jc w:val="center"/>
                    <w:rPr>
                      <w:rFonts w:cs="EUAlbertina"/>
                      <w:b/>
                      <w:sz w:val="20"/>
                      <w:szCs w:val="20"/>
                    </w:rPr>
                  </w:pPr>
                  <w:r w:rsidRPr="00804AB2">
                    <w:rPr>
                      <w:rFonts w:cs="EUAlbertina"/>
                      <w:b/>
                      <w:sz w:val="20"/>
                      <w:szCs w:val="20"/>
                    </w:rPr>
                    <w:t>algorytm</w:t>
                  </w:r>
                </w:p>
              </w:tc>
            </w:tr>
            <w:tr w:rsidR="00AF4783" w:rsidRPr="003C4F61" w:rsidTr="00597BF5">
              <w:tc>
                <w:tcPr>
                  <w:tcW w:w="562" w:type="dxa"/>
                  <w:shd w:val="clear" w:color="auto" w:fill="D9D9D9"/>
                </w:tcPr>
                <w:p w:rsidR="00AF4783" w:rsidRPr="00804AB2" w:rsidRDefault="00AF4783" w:rsidP="002920DB">
                  <w:pPr>
                    <w:spacing w:before="120"/>
                    <w:jc w:val="center"/>
                    <w:rPr>
                      <w:rFonts w:cs="EUAlbertina"/>
                      <w:b/>
                      <w:sz w:val="20"/>
                      <w:szCs w:val="20"/>
                    </w:rPr>
                  </w:pPr>
                  <w:r w:rsidRPr="00804AB2">
                    <w:rPr>
                      <w:rFonts w:cs="EUAlbertina"/>
                      <w:b/>
                      <w:sz w:val="20"/>
                      <w:szCs w:val="20"/>
                    </w:rPr>
                    <w:t>1</w:t>
                  </w:r>
                </w:p>
              </w:tc>
              <w:tc>
                <w:tcPr>
                  <w:tcW w:w="3578" w:type="dxa"/>
                  <w:shd w:val="clear" w:color="auto" w:fill="D9D9D9"/>
                </w:tcPr>
                <w:p w:rsidR="00AF4783" w:rsidRPr="00804AB2" w:rsidRDefault="00AF4783" w:rsidP="002920DB">
                  <w:pPr>
                    <w:spacing w:before="120"/>
                    <w:jc w:val="center"/>
                    <w:rPr>
                      <w:rFonts w:cs="EUAlbertina"/>
                      <w:sz w:val="20"/>
                      <w:szCs w:val="20"/>
                    </w:rPr>
                  </w:pPr>
                  <w:r w:rsidRPr="00804AB2">
                    <w:rPr>
                      <w:rFonts w:cs="EUAlbertina"/>
                      <w:sz w:val="20"/>
                      <w:szCs w:val="20"/>
                    </w:rPr>
                    <w:t>Obliczenie minimalnej kwoty środków unijnych, które muszą być wykorzystane w ramach całego programu operacyj</w:t>
                  </w:r>
                  <w:r>
                    <w:rPr>
                      <w:rFonts w:cs="EUAlbertina"/>
                      <w:sz w:val="20"/>
                      <w:szCs w:val="20"/>
                    </w:rPr>
                    <w:t xml:space="preserve">nego do końca </w:t>
                  </w:r>
                  <w:r w:rsidRPr="00597BF5">
                    <w:rPr>
                      <w:rFonts w:cs="EUAlbertina"/>
                      <w:sz w:val="20"/>
                      <w:szCs w:val="20"/>
                    </w:rPr>
                    <w:t>2023 r.</w:t>
                  </w:r>
                  <w:r w:rsidRPr="00E85D38">
                    <w:rPr>
                      <w:rFonts w:cs="EUAlbertina"/>
                      <w:sz w:val="20"/>
                      <w:szCs w:val="20"/>
                    </w:rPr>
                    <w:t>,</w:t>
                  </w:r>
                  <w:r w:rsidRPr="00804AB2">
                    <w:rPr>
                      <w:rFonts w:cs="EUAlbertina"/>
                      <w:sz w:val="20"/>
                      <w:szCs w:val="20"/>
                    </w:rPr>
                    <w:t xml:space="preserve"> (</w:t>
                  </w:r>
                  <w:r w:rsidRPr="00B32320">
                    <w:rPr>
                      <w:rFonts w:cs="EUAlbertina"/>
                      <w:sz w:val="20"/>
                      <w:szCs w:val="20"/>
                    </w:rPr>
                    <w:t>obliczenia oddzielnie dla każdego funduszu i kategorii regionów).</w:t>
                  </w:r>
                </w:p>
              </w:tc>
              <w:tc>
                <w:tcPr>
                  <w:tcW w:w="4786" w:type="dxa"/>
                  <w:shd w:val="clear" w:color="auto" w:fill="auto"/>
                </w:tcPr>
                <w:p w:rsidR="00AF4783" w:rsidRPr="00804AB2" w:rsidRDefault="00AF4783" w:rsidP="002920DB">
                  <w:pPr>
                    <w:spacing w:before="120"/>
                    <w:jc w:val="center"/>
                    <w:rPr>
                      <w:rFonts w:cs="EUAlbertina"/>
                      <w:sz w:val="20"/>
                      <w:szCs w:val="20"/>
                    </w:rPr>
                  </w:pPr>
                  <w:r w:rsidRPr="00804AB2">
                    <w:rPr>
                      <w:rFonts w:cs="EUAlbertina"/>
                      <w:sz w:val="20"/>
                      <w:szCs w:val="20"/>
                    </w:rPr>
                    <w:t>Całkowita alokac</w:t>
                  </w:r>
                  <w:r>
                    <w:rPr>
                      <w:rFonts w:cs="EUAlbertina"/>
                      <w:sz w:val="20"/>
                      <w:szCs w:val="20"/>
                    </w:rPr>
                    <w:t>ja unijna dla całego programu w </w:t>
                  </w:r>
                  <w:r w:rsidRPr="00B32320">
                    <w:rPr>
                      <w:rFonts w:cs="EUAlbertina"/>
                      <w:sz w:val="20"/>
                      <w:szCs w:val="20"/>
                    </w:rPr>
                    <w:t>podziale na fundusz i kategorie regionów,</w:t>
                  </w:r>
                  <w:r w:rsidRPr="00804AB2">
                    <w:rPr>
                      <w:rFonts w:cs="EUAlbertina"/>
                      <w:sz w:val="20"/>
                      <w:szCs w:val="20"/>
                    </w:rPr>
                    <w:t xml:space="preserve"> uwzględniając rezerwę wykonania = minimalna kwota wniosków o płatność w części wkładu przesłanych do KE na koniec </w:t>
                  </w:r>
                  <w:r w:rsidRPr="00711648">
                    <w:rPr>
                      <w:rFonts w:cs="EUAlbertina"/>
                      <w:sz w:val="20"/>
                      <w:szCs w:val="20"/>
                    </w:rPr>
                    <w:t>2023 r.</w:t>
                  </w:r>
                  <w:r w:rsidRPr="00804AB2">
                    <w:rPr>
                      <w:rFonts w:cs="EUAlbertina"/>
                      <w:sz w:val="20"/>
                      <w:szCs w:val="20"/>
                    </w:rPr>
                    <w:t xml:space="preserve"> </w:t>
                  </w:r>
                </w:p>
              </w:tc>
            </w:tr>
            <w:tr w:rsidR="00AF4783" w:rsidRPr="003C4F61" w:rsidTr="00597BF5">
              <w:tc>
                <w:tcPr>
                  <w:tcW w:w="562" w:type="dxa"/>
                  <w:shd w:val="clear" w:color="auto" w:fill="D9D9D9"/>
                </w:tcPr>
                <w:p w:rsidR="00AF4783" w:rsidRPr="00804AB2" w:rsidRDefault="00AF4783" w:rsidP="002920DB">
                  <w:pPr>
                    <w:spacing w:before="120"/>
                    <w:jc w:val="center"/>
                    <w:rPr>
                      <w:rFonts w:cs="EUAlbertina"/>
                      <w:b/>
                      <w:sz w:val="20"/>
                      <w:szCs w:val="20"/>
                    </w:rPr>
                  </w:pPr>
                  <w:r w:rsidRPr="00804AB2">
                    <w:rPr>
                      <w:rFonts w:cs="EUAlbertina"/>
                      <w:b/>
                      <w:sz w:val="20"/>
                      <w:szCs w:val="20"/>
                    </w:rPr>
                    <w:t>2</w:t>
                  </w:r>
                </w:p>
              </w:tc>
              <w:tc>
                <w:tcPr>
                  <w:tcW w:w="3578" w:type="dxa"/>
                  <w:shd w:val="clear" w:color="auto" w:fill="D9D9D9"/>
                </w:tcPr>
                <w:p w:rsidR="00AF4783" w:rsidRPr="00804AB2" w:rsidRDefault="00AF4783" w:rsidP="002920DB">
                  <w:pPr>
                    <w:spacing w:before="120"/>
                    <w:jc w:val="center"/>
                    <w:rPr>
                      <w:rFonts w:cs="EUAlbertina"/>
                      <w:sz w:val="20"/>
                      <w:szCs w:val="20"/>
                    </w:rPr>
                  </w:pPr>
                  <w:r w:rsidRPr="00804AB2">
                    <w:rPr>
                      <w:rFonts w:cs="EUAlbertina"/>
                      <w:sz w:val="20"/>
                      <w:szCs w:val="20"/>
                    </w:rPr>
                    <w:t>Obliczenie kwoty całkowitych wydatków kwalifikowalnych, które muszą zostać certyfikowane dla całego programu na koniec 2023 r.</w:t>
                  </w:r>
                </w:p>
              </w:tc>
              <w:tc>
                <w:tcPr>
                  <w:tcW w:w="4786" w:type="dxa"/>
                  <w:shd w:val="clear" w:color="auto" w:fill="auto"/>
                </w:tcPr>
                <w:p w:rsidR="00AF4783" w:rsidRPr="00804AB2" w:rsidRDefault="00AF4783" w:rsidP="002920DB">
                  <w:pPr>
                    <w:spacing w:before="120"/>
                    <w:jc w:val="center"/>
                    <w:rPr>
                      <w:rFonts w:cs="EUAlbertina"/>
                      <w:sz w:val="20"/>
                      <w:szCs w:val="20"/>
                    </w:rPr>
                  </w:pPr>
                  <w:r w:rsidRPr="00804AB2">
                    <w:rPr>
                      <w:rFonts w:cs="EUAlbertina"/>
                      <w:sz w:val="20"/>
                      <w:szCs w:val="20"/>
                    </w:rPr>
                    <w:t>Pełna kwota całkowitych wydatków kwalifikowalnych, które muszą zostać certyfiko</w:t>
                  </w:r>
                  <w:r>
                    <w:rPr>
                      <w:rFonts w:cs="EUAlbertina"/>
                      <w:sz w:val="20"/>
                      <w:szCs w:val="20"/>
                    </w:rPr>
                    <w:t xml:space="preserve">wane na koniec </w:t>
                  </w:r>
                  <w:r w:rsidRPr="00597BF5">
                    <w:rPr>
                      <w:rFonts w:cs="EUAlbertina"/>
                      <w:sz w:val="20"/>
                      <w:szCs w:val="20"/>
                    </w:rPr>
                    <w:t>2023 r.</w:t>
                  </w:r>
                  <w:r w:rsidRPr="00804AB2">
                    <w:rPr>
                      <w:rFonts w:cs="EUAlbertina"/>
                      <w:sz w:val="20"/>
                      <w:szCs w:val="20"/>
                    </w:rPr>
                    <w:t xml:space="preserve"> = wynik </w:t>
                  </w:r>
                  <w:r w:rsidRPr="00804AB2">
                    <w:rPr>
                      <w:rFonts w:cs="EUAlbertina"/>
                      <w:sz w:val="20"/>
                      <w:szCs w:val="20"/>
                    </w:rPr>
                    <w:cr/>
                    <w:t>roku 1: 0,85 (lub 0,80 dla Mazowsza)</w:t>
                  </w:r>
                </w:p>
              </w:tc>
            </w:tr>
            <w:tr w:rsidR="00AF4783" w:rsidRPr="003C4F61" w:rsidTr="00597BF5">
              <w:tc>
                <w:tcPr>
                  <w:tcW w:w="562" w:type="dxa"/>
                  <w:shd w:val="clear" w:color="auto" w:fill="D9D9D9"/>
                </w:tcPr>
                <w:p w:rsidR="00AF4783" w:rsidRPr="00804AB2" w:rsidRDefault="00AF4783" w:rsidP="002920DB">
                  <w:pPr>
                    <w:spacing w:before="120"/>
                    <w:jc w:val="center"/>
                    <w:rPr>
                      <w:rFonts w:cs="EUAlbertina"/>
                      <w:b/>
                      <w:sz w:val="20"/>
                      <w:szCs w:val="20"/>
                    </w:rPr>
                  </w:pPr>
                  <w:r w:rsidRPr="00804AB2">
                    <w:rPr>
                      <w:rFonts w:cs="EUAlbertina"/>
                      <w:b/>
                      <w:sz w:val="20"/>
                      <w:szCs w:val="20"/>
                    </w:rPr>
                    <w:t>3</w:t>
                  </w:r>
                </w:p>
              </w:tc>
              <w:tc>
                <w:tcPr>
                  <w:tcW w:w="3578" w:type="dxa"/>
                  <w:shd w:val="clear" w:color="auto" w:fill="D9D9D9"/>
                </w:tcPr>
                <w:p w:rsidR="00AF4783" w:rsidRPr="00804AB2" w:rsidRDefault="00AF4783" w:rsidP="002920DB">
                  <w:pPr>
                    <w:spacing w:before="120"/>
                    <w:jc w:val="center"/>
                    <w:rPr>
                      <w:rFonts w:cs="EUAlbertina"/>
                      <w:sz w:val="20"/>
                      <w:szCs w:val="20"/>
                    </w:rPr>
                  </w:pPr>
                  <w:r w:rsidRPr="00804AB2">
                    <w:rPr>
                      <w:rFonts w:cs="EUAlbertina"/>
                      <w:sz w:val="20"/>
                      <w:szCs w:val="20"/>
                    </w:rPr>
                    <w:t>Odliczenie pomocy technicznej (dotyczy tylko funduszu, z którego finansowana jest pomoc techniczna)</w:t>
                  </w:r>
                </w:p>
              </w:tc>
              <w:tc>
                <w:tcPr>
                  <w:tcW w:w="4786" w:type="dxa"/>
                  <w:shd w:val="clear" w:color="auto" w:fill="auto"/>
                </w:tcPr>
                <w:p w:rsidR="00AF4783" w:rsidRPr="00804AB2" w:rsidRDefault="00AF4783" w:rsidP="002920DB">
                  <w:pPr>
                    <w:spacing w:before="120"/>
                    <w:jc w:val="center"/>
                    <w:rPr>
                      <w:rFonts w:cs="EUAlbertina"/>
                      <w:sz w:val="20"/>
                      <w:szCs w:val="20"/>
                    </w:rPr>
                  </w:pPr>
                  <w:r w:rsidRPr="00804AB2">
                    <w:rPr>
                      <w:rFonts w:cs="EUAlbertina"/>
                      <w:sz w:val="20"/>
                      <w:szCs w:val="20"/>
                    </w:rPr>
                    <w:t xml:space="preserve">Całkowite wydatki </w:t>
                  </w:r>
                  <w:r>
                    <w:rPr>
                      <w:rFonts w:cs="EUAlbertina"/>
                      <w:sz w:val="20"/>
                      <w:szCs w:val="20"/>
                    </w:rPr>
                    <w:t xml:space="preserve">kwalifikowalne certyfikowane do końca </w:t>
                  </w:r>
                  <w:r w:rsidRPr="00597BF5">
                    <w:rPr>
                      <w:rFonts w:cs="EUAlbertina"/>
                      <w:sz w:val="20"/>
                      <w:szCs w:val="20"/>
                    </w:rPr>
                    <w:t>2023 r.</w:t>
                  </w:r>
                  <w:r w:rsidRPr="00804AB2">
                    <w:rPr>
                      <w:rFonts w:cs="EUAlbertina"/>
                      <w:sz w:val="20"/>
                      <w:szCs w:val="20"/>
                    </w:rPr>
                    <w:t xml:space="preserve"> dla zwykłych osi priorytetowych = wynik kroku 2 – o</w:t>
                  </w:r>
                  <w:r w:rsidRPr="00804AB2">
                    <w:rPr>
                      <w:rFonts w:cs="EUAlbertina"/>
                      <w:sz w:val="20"/>
                      <w:szCs w:val="20"/>
                    </w:rPr>
                    <w:cr/>
                  </w:r>
                  <w:r w:rsidR="00A725E0">
                    <w:rPr>
                      <w:rFonts w:cs="EUAlbertina"/>
                      <w:sz w:val="20"/>
                      <w:szCs w:val="20"/>
                    </w:rPr>
                    <w:t>s</w:t>
                  </w:r>
                  <w:r w:rsidRPr="00804AB2">
                    <w:rPr>
                      <w:rFonts w:cs="EUAlbertina"/>
                      <w:sz w:val="20"/>
                      <w:szCs w:val="20"/>
                    </w:rPr>
                    <w:t xml:space="preserve">zacowane wydatki kwalifikowalne certyfikowane na koniec </w:t>
                  </w:r>
                  <w:r w:rsidRPr="00711648">
                    <w:rPr>
                      <w:rFonts w:cs="EUAlbertina"/>
                      <w:sz w:val="20"/>
                      <w:szCs w:val="20"/>
                    </w:rPr>
                    <w:t xml:space="preserve">2023 </w:t>
                  </w:r>
                  <w:r w:rsidRPr="00804AB2">
                    <w:rPr>
                      <w:rFonts w:cs="EUAlbertina"/>
                      <w:sz w:val="20"/>
                      <w:szCs w:val="20"/>
                    </w:rPr>
                    <w:t>r. dla osi pomocy technicznej</w:t>
                  </w:r>
                </w:p>
              </w:tc>
            </w:tr>
            <w:tr w:rsidR="00AF4783" w:rsidRPr="003C4F61" w:rsidTr="00597BF5">
              <w:tc>
                <w:tcPr>
                  <w:tcW w:w="562" w:type="dxa"/>
                  <w:shd w:val="clear" w:color="auto" w:fill="D9D9D9"/>
                </w:tcPr>
                <w:p w:rsidR="00AF4783" w:rsidRPr="00804AB2" w:rsidRDefault="00AF4783" w:rsidP="002920DB">
                  <w:pPr>
                    <w:spacing w:before="120"/>
                    <w:jc w:val="center"/>
                    <w:rPr>
                      <w:rFonts w:cs="EUAlbertina"/>
                      <w:b/>
                      <w:sz w:val="20"/>
                      <w:szCs w:val="20"/>
                    </w:rPr>
                  </w:pPr>
                  <w:r w:rsidRPr="00804AB2">
                    <w:rPr>
                      <w:rFonts w:cs="EUAlbertina"/>
                      <w:b/>
                      <w:sz w:val="20"/>
                      <w:szCs w:val="20"/>
                    </w:rPr>
                    <w:t>4</w:t>
                  </w:r>
                </w:p>
              </w:tc>
              <w:tc>
                <w:tcPr>
                  <w:tcW w:w="8364" w:type="dxa"/>
                  <w:gridSpan w:val="2"/>
                  <w:shd w:val="clear" w:color="auto" w:fill="D9D9D9"/>
                </w:tcPr>
                <w:p w:rsidR="00C6408F" w:rsidRPr="00C6408F" w:rsidRDefault="00C6408F" w:rsidP="00C6408F">
                  <w:pPr>
                    <w:jc w:val="both"/>
                    <w:rPr>
                      <w:rFonts w:cs="EUAlbertina"/>
                      <w:sz w:val="20"/>
                      <w:szCs w:val="20"/>
                    </w:rPr>
                  </w:pPr>
                  <w:r w:rsidRPr="00C6408F">
                    <w:rPr>
                      <w:rFonts w:cs="EUAlbertina"/>
                      <w:sz w:val="20"/>
                      <w:szCs w:val="20"/>
                    </w:rPr>
                    <w:t>W rezultacie cel końcowy równa się całkowitej alokacji przewidzianej dla danej osi, zgodnie z planem finansowym POPC.</w:t>
                  </w:r>
                </w:p>
              </w:tc>
            </w:tr>
          </w:tbl>
          <w:p w:rsidR="006C0841" w:rsidRDefault="006C0841" w:rsidP="00597BF5">
            <w:pPr>
              <w:ind w:left="284"/>
              <w:jc w:val="both"/>
              <w:rPr>
                <w:rFonts w:cs="Calibri"/>
                <w:sz w:val="20"/>
                <w:szCs w:val="20"/>
              </w:rPr>
            </w:pPr>
          </w:p>
          <w:p w:rsidR="00AF4783" w:rsidRDefault="00AF4783" w:rsidP="00597BF5">
            <w:pPr>
              <w:numPr>
                <w:ilvl w:val="0"/>
                <w:numId w:val="17"/>
              </w:numPr>
              <w:ind w:left="284" w:hanging="284"/>
              <w:jc w:val="both"/>
              <w:rPr>
                <w:rFonts w:cs="Calibri"/>
                <w:sz w:val="20"/>
                <w:szCs w:val="20"/>
              </w:rPr>
            </w:pPr>
            <w:r w:rsidRPr="00597BF5">
              <w:rPr>
                <w:rFonts w:cs="Calibri"/>
                <w:sz w:val="20"/>
                <w:szCs w:val="20"/>
              </w:rPr>
              <w:t>Kwoty będące wynikiem działań opisanych w punkcie 4. przedstawion</w:t>
            </w:r>
            <w:r w:rsidR="006C0841">
              <w:rPr>
                <w:rFonts w:cs="Calibri"/>
                <w:sz w:val="20"/>
                <w:szCs w:val="20"/>
              </w:rPr>
              <w:t>o</w:t>
            </w:r>
            <w:r w:rsidRPr="00597BF5">
              <w:rPr>
                <w:rFonts w:cs="Calibri"/>
                <w:sz w:val="20"/>
                <w:szCs w:val="20"/>
              </w:rPr>
              <w:t xml:space="preserve"> w </w:t>
            </w:r>
            <w:r w:rsidRPr="00597BF5">
              <w:rPr>
                <w:rFonts w:cs="Calibri"/>
                <w:b/>
                <w:sz w:val="20"/>
                <w:szCs w:val="20"/>
              </w:rPr>
              <w:t>poniższej</w:t>
            </w:r>
            <w:r w:rsidR="006C0841" w:rsidRPr="008D7DE6">
              <w:rPr>
                <w:rFonts w:cs="Calibri"/>
                <w:b/>
                <w:sz w:val="20"/>
                <w:szCs w:val="20"/>
              </w:rPr>
              <w:t xml:space="preserve"> tabel</w:t>
            </w:r>
            <w:r w:rsidR="006C0841">
              <w:rPr>
                <w:rFonts w:cs="Calibri"/>
                <w:b/>
                <w:sz w:val="20"/>
                <w:szCs w:val="20"/>
              </w:rPr>
              <w:t>i</w:t>
            </w:r>
            <w:r w:rsidRPr="00597BF5">
              <w:rPr>
                <w:rFonts w:cs="Calibri"/>
                <w:b/>
                <w:sz w:val="20"/>
                <w:szCs w:val="20"/>
              </w:rPr>
              <w:t xml:space="preserve"> celów pośrednich i końcowych dla wskaźnika finansowego</w:t>
            </w:r>
            <w:r w:rsidRPr="00597BF5">
              <w:rPr>
                <w:rFonts w:cs="Calibri"/>
                <w:sz w:val="20"/>
                <w:szCs w:val="20"/>
              </w:rPr>
              <w:t xml:space="preserve">, zakładanych dla każdej osi priorytetowej niebędącej osią pomocy technicznej. </w:t>
            </w:r>
            <w:r w:rsidR="00DB2681">
              <w:rPr>
                <w:rFonts w:cs="Calibri"/>
                <w:sz w:val="20"/>
                <w:szCs w:val="20"/>
              </w:rPr>
              <w:t>Ponieważ w trakcie przeglądu śródokresowego Instytucja Zarządzająca podjęła decyzję o realokacji środkó</w:t>
            </w:r>
            <w:r w:rsidR="00802715">
              <w:rPr>
                <w:rFonts w:cs="Calibri"/>
                <w:sz w:val="20"/>
                <w:szCs w:val="20"/>
              </w:rPr>
              <w:t>w z 2. Osi priorytetowej do 1. i</w:t>
            </w:r>
            <w:r w:rsidR="00DB2681">
              <w:rPr>
                <w:rFonts w:cs="Calibri"/>
                <w:sz w:val="20"/>
                <w:szCs w:val="20"/>
              </w:rPr>
              <w:t xml:space="preserve"> 3. Osi priorytetowej zmianie uległy wartości celów końcowych wskaźników finansowych. Zmiana wartości tych wskaźników w porównaniu do pierwotnie ustanowionych celów na 2023 r. wynika bezpośrednio z realokowanych między osiami kwot. Wartości alokacji UE oraz celów na 2023 r. w tabeli przyjęto w związku z powyższym wprost z zaktualizowanej w trakcie przeglądu śródokresowego tabeli finansowej POPC. </w:t>
            </w:r>
            <w:r w:rsidRPr="00597BF5">
              <w:rPr>
                <w:rFonts w:cs="Calibri"/>
                <w:sz w:val="20"/>
                <w:szCs w:val="20"/>
              </w:rPr>
              <w:t>Tam, gdzie jest to stosowne, należy dokonać rozbicia na fundusz i na kategorie regionów:</w:t>
            </w:r>
          </w:p>
          <w:p w:rsidR="00356E96" w:rsidRPr="00C52369" w:rsidRDefault="00356E96" w:rsidP="00356E96">
            <w:pPr>
              <w:pStyle w:val="Legenda"/>
            </w:pPr>
            <w:bookmarkStart w:id="4" w:name="_Toc401826756"/>
            <w:r>
              <w:lastRenderedPageBreak/>
              <w:t xml:space="preserve">Tabela </w:t>
            </w:r>
            <w:r w:rsidR="00050B55">
              <w:fldChar w:fldCharType="begin"/>
            </w:r>
            <w:r w:rsidR="00050B55">
              <w:instrText xml:space="preserve"> SEQ Tabela \* </w:instrText>
            </w:r>
            <w:r w:rsidR="00050B55">
              <w:instrText xml:space="preserve">ARABIC </w:instrText>
            </w:r>
            <w:r w:rsidR="00050B55">
              <w:fldChar w:fldCharType="separate"/>
            </w:r>
            <w:r w:rsidR="002570DE">
              <w:rPr>
                <w:noProof/>
              </w:rPr>
              <w:t>3</w:t>
            </w:r>
            <w:r w:rsidR="00050B55">
              <w:rPr>
                <w:noProof/>
              </w:rPr>
              <w:fldChar w:fldCharType="end"/>
            </w:r>
            <w:r w:rsidR="00500075">
              <w:t xml:space="preserve"> </w:t>
            </w:r>
            <w:r>
              <w:t xml:space="preserve">- </w:t>
            </w:r>
            <w:r w:rsidR="00946CB8">
              <w:t>C</w:t>
            </w:r>
            <w:r>
              <w:t>ele</w:t>
            </w:r>
            <w:r w:rsidRPr="00356E96">
              <w:t xml:space="preserve"> pośredni</w:t>
            </w:r>
            <w:r>
              <w:t>e i końcowe</w:t>
            </w:r>
            <w:r w:rsidRPr="00356E96">
              <w:t xml:space="preserve"> dla wskaźnika finansowego</w:t>
            </w:r>
            <w:bookmarkEnd w:id="4"/>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2"/>
              <w:gridCol w:w="851"/>
              <w:gridCol w:w="850"/>
              <w:gridCol w:w="1276"/>
              <w:gridCol w:w="1559"/>
              <w:gridCol w:w="1560"/>
              <w:gridCol w:w="1417"/>
              <w:gridCol w:w="992"/>
            </w:tblGrid>
            <w:tr w:rsidR="00C82719" w:rsidRPr="000A14D3" w:rsidTr="00840299">
              <w:tc>
                <w:tcPr>
                  <w:tcW w:w="562" w:type="dxa"/>
                  <w:vMerge w:val="restart"/>
                  <w:shd w:val="clear" w:color="auto" w:fill="C6D9F1"/>
                  <w:vAlign w:val="center"/>
                </w:tcPr>
                <w:p w:rsidR="00AF4783" w:rsidRPr="00597BF5" w:rsidRDefault="00AF4783" w:rsidP="002920DB">
                  <w:pPr>
                    <w:spacing w:beforeLines="20" w:before="48" w:afterLines="20" w:after="48"/>
                    <w:jc w:val="center"/>
                    <w:rPr>
                      <w:b/>
                      <w:sz w:val="16"/>
                      <w:szCs w:val="16"/>
                    </w:rPr>
                  </w:pPr>
                  <w:r w:rsidRPr="00597BF5">
                    <w:rPr>
                      <w:b/>
                      <w:sz w:val="16"/>
                      <w:szCs w:val="16"/>
                    </w:rPr>
                    <w:t>nr osi</w:t>
                  </w:r>
                </w:p>
              </w:tc>
              <w:tc>
                <w:tcPr>
                  <w:tcW w:w="851" w:type="dxa"/>
                  <w:vMerge w:val="restart"/>
                  <w:shd w:val="clear" w:color="auto" w:fill="C6D9F1"/>
                  <w:vAlign w:val="center"/>
                </w:tcPr>
                <w:p w:rsidR="00AF4783" w:rsidRPr="00597BF5" w:rsidRDefault="00AF4783" w:rsidP="002920DB">
                  <w:pPr>
                    <w:spacing w:beforeLines="20" w:before="48" w:afterLines="20" w:after="48"/>
                    <w:jc w:val="center"/>
                    <w:rPr>
                      <w:b/>
                      <w:sz w:val="16"/>
                      <w:szCs w:val="16"/>
                    </w:rPr>
                  </w:pPr>
                  <w:r w:rsidRPr="00597BF5">
                    <w:rPr>
                      <w:b/>
                      <w:sz w:val="16"/>
                      <w:szCs w:val="16"/>
                    </w:rPr>
                    <w:t>fundusz</w:t>
                  </w:r>
                </w:p>
              </w:tc>
              <w:tc>
                <w:tcPr>
                  <w:tcW w:w="850" w:type="dxa"/>
                  <w:vMerge w:val="restart"/>
                  <w:shd w:val="clear" w:color="auto" w:fill="C6D9F1"/>
                  <w:vAlign w:val="center"/>
                </w:tcPr>
                <w:p w:rsidR="00AF4783" w:rsidRPr="00597BF5" w:rsidRDefault="00AF4783" w:rsidP="002920DB">
                  <w:pPr>
                    <w:spacing w:beforeLines="20" w:before="48" w:afterLines="20" w:after="48"/>
                    <w:jc w:val="center"/>
                    <w:rPr>
                      <w:b/>
                      <w:sz w:val="16"/>
                      <w:szCs w:val="16"/>
                    </w:rPr>
                  </w:pPr>
                  <w:r w:rsidRPr="00597BF5">
                    <w:rPr>
                      <w:b/>
                      <w:sz w:val="16"/>
                      <w:szCs w:val="16"/>
                    </w:rPr>
                    <w:t>kategoria regionów</w:t>
                  </w:r>
                </w:p>
              </w:tc>
              <w:tc>
                <w:tcPr>
                  <w:tcW w:w="1276" w:type="dxa"/>
                  <w:vMerge w:val="restart"/>
                  <w:shd w:val="clear" w:color="auto" w:fill="C6D9F1"/>
                  <w:vAlign w:val="center"/>
                </w:tcPr>
                <w:p w:rsidR="00AF4783" w:rsidRPr="00597BF5" w:rsidRDefault="00AF4783" w:rsidP="002920DB">
                  <w:pPr>
                    <w:spacing w:beforeLines="20" w:before="48" w:afterLines="20" w:after="48"/>
                    <w:jc w:val="center"/>
                    <w:rPr>
                      <w:b/>
                      <w:sz w:val="16"/>
                      <w:szCs w:val="16"/>
                    </w:rPr>
                  </w:pPr>
                  <w:r w:rsidRPr="00597BF5">
                    <w:rPr>
                      <w:b/>
                      <w:sz w:val="16"/>
                      <w:szCs w:val="16"/>
                    </w:rPr>
                    <w:t>alokacja UE</w:t>
                  </w:r>
                </w:p>
              </w:tc>
              <w:tc>
                <w:tcPr>
                  <w:tcW w:w="3119" w:type="dxa"/>
                  <w:gridSpan w:val="2"/>
                  <w:shd w:val="clear" w:color="auto" w:fill="C6D9F1"/>
                  <w:vAlign w:val="center"/>
                </w:tcPr>
                <w:p w:rsidR="00AF4783" w:rsidRPr="00597BF5" w:rsidRDefault="00AF4783" w:rsidP="002920DB">
                  <w:pPr>
                    <w:spacing w:beforeLines="20" w:before="48" w:afterLines="20" w:after="48"/>
                    <w:jc w:val="center"/>
                    <w:rPr>
                      <w:b/>
                      <w:sz w:val="16"/>
                      <w:szCs w:val="16"/>
                    </w:rPr>
                  </w:pPr>
                  <w:r w:rsidRPr="00597BF5">
                    <w:rPr>
                      <w:b/>
                      <w:i/>
                      <w:sz w:val="16"/>
                      <w:szCs w:val="16"/>
                    </w:rPr>
                    <w:t>całkowita kwota certyfikowanych wydatków kwalifikowalnych w ujęciu narastającym</w:t>
                  </w:r>
                </w:p>
              </w:tc>
              <w:tc>
                <w:tcPr>
                  <w:tcW w:w="1417" w:type="dxa"/>
                  <w:shd w:val="clear" w:color="auto" w:fill="C6D9F1"/>
                  <w:vAlign w:val="center"/>
                </w:tcPr>
                <w:p w:rsidR="00AF4783" w:rsidRPr="00597BF5" w:rsidRDefault="00AF4783" w:rsidP="002920DB">
                  <w:pPr>
                    <w:spacing w:beforeLines="20" w:before="48" w:afterLines="20" w:after="48"/>
                    <w:jc w:val="center"/>
                    <w:rPr>
                      <w:b/>
                      <w:sz w:val="16"/>
                      <w:szCs w:val="16"/>
                    </w:rPr>
                  </w:pPr>
                  <w:r w:rsidRPr="00597BF5">
                    <w:rPr>
                      <w:b/>
                      <w:sz w:val="16"/>
                      <w:szCs w:val="16"/>
                    </w:rPr>
                    <w:t>%</w:t>
                  </w:r>
                </w:p>
              </w:tc>
              <w:tc>
                <w:tcPr>
                  <w:tcW w:w="992" w:type="dxa"/>
                  <w:vMerge w:val="restart"/>
                  <w:shd w:val="clear" w:color="auto" w:fill="C6D9F1"/>
                  <w:vAlign w:val="center"/>
                </w:tcPr>
                <w:p w:rsidR="00AF4783" w:rsidRPr="00597BF5" w:rsidRDefault="00C82719" w:rsidP="002920DB">
                  <w:pPr>
                    <w:spacing w:beforeLines="20" w:before="48" w:afterLines="20" w:after="48"/>
                    <w:jc w:val="center"/>
                    <w:rPr>
                      <w:b/>
                      <w:sz w:val="16"/>
                      <w:szCs w:val="16"/>
                    </w:rPr>
                  </w:pPr>
                  <w:r w:rsidRPr="00915189">
                    <w:rPr>
                      <w:b/>
                      <w:sz w:val="16"/>
                      <w:szCs w:val="16"/>
                    </w:rPr>
                    <w:t>U</w:t>
                  </w:r>
                  <w:r w:rsidR="00AF4783" w:rsidRPr="00597BF5">
                    <w:rPr>
                      <w:b/>
                      <w:sz w:val="16"/>
                      <w:szCs w:val="16"/>
                    </w:rPr>
                    <w:t>zasadnienie</w:t>
                  </w:r>
                </w:p>
              </w:tc>
            </w:tr>
            <w:tr w:rsidR="00E4620C" w:rsidRPr="000A14D3" w:rsidTr="00840299">
              <w:tc>
                <w:tcPr>
                  <w:tcW w:w="562" w:type="dxa"/>
                  <w:vMerge/>
                  <w:shd w:val="clear" w:color="auto" w:fill="4F81BD"/>
                  <w:vAlign w:val="center"/>
                </w:tcPr>
                <w:p w:rsidR="00E4620C" w:rsidRPr="00597BF5" w:rsidRDefault="00E4620C" w:rsidP="002920DB">
                  <w:pPr>
                    <w:spacing w:beforeLines="20" w:before="48" w:afterLines="20" w:after="48"/>
                    <w:jc w:val="center"/>
                    <w:rPr>
                      <w:b/>
                      <w:sz w:val="16"/>
                      <w:szCs w:val="16"/>
                    </w:rPr>
                  </w:pPr>
                </w:p>
              </w:tc>
              <w:tc>
                <w:tcPr>
                  <w:tcW w:w="851" w:type="dxa"/>
                  <w:vMerge/>
                  <w:shd w:val="clear" w:color="auto" w:fill="4F81BD"/>
                  <w:vAlign w:val="center"/>
                </w:tcPr>
                <w:p w:rsidR="00E4620C" w:rsidRPr="00597BF5" w:rsidRDefault="00E4620C" w:rsidP="002920DB">
                  <w:pPr>
                    <w:spacing w:beforeLines="20" w:before="48" w:afterLines="20" w:after="48"/>
                    <w:jc w:val="center"/>
                    <w:rPr>
                      <w:b/>
                      <w:sz w:val="16"/>
                      <w:szCs w:val="16"/>
                    </w:rPr>
                  </w:pPr>
                </w:p>
              </w:tc>
              <w:tc>
                <w:tcPr>
                  <w:tcW w:w="850" w:type="dxa"/>
                  <w:vMerge/>
                  <w:shd w:val="clear" w:color="auto" w:fill="4F81BD"/>
                  <w:vAlign w:val="center"/>
                </w:tcPr>
                <w:p w:rsidR="00E4620C" w:rsidRPr="00597BF5" w:rsidRDefault="00E4620C" w:rsidP="002920DB">
                  <w:pPr>
                    <w:spacing w:beforeLines="20" w:before="48" w:afterLines="20" w:after="48"/>
                    <w:jc w:val="center"/>
                    <w:rPr>
                      <w:b/>
                      <w:sz w:val="16"/>
                      <w:szCs w:val="16"/>
                    </w:rPr>
                  </w:pPr>
                </w:p>
              </w:tc>
              <w:tc>
                <w:tcPr>
                  <w:tcW w:w="1276" w:type="dxa"/>
                  <w:vMerge/>
                  <w:shd w:val="clear" w:color="auto" w:fill="4F81BD"/>
                  <w:vAlign w:val="center"/>
                </w:tcPr>
                <w:p w:rsidR="00E4620C" w:rsidRPr="00597BF5" w:rsidRDefault="00E4620C" w:rsidP="002920DB">
                  <w:pPr>
                    <w:spacing w:beforeLines="20" w:before="48" w:afterLines="20" w:after="48"/>
                    <w:jc w:val="center"/>
                    <w:rPr>
                      <w:b/>
                      <w:sz w:val="16"/>
                      <w:szCs w:val="16"/>
                    </w:rPr>
                  </w:pPr>
                </w:p>
              </w:tc>
              <w:tc>
                <w:tcPr>
                  <w:tcW w:w="1559" w:type="dxa"/>
                  <w:shd w:val="clear" w:color="auto" w:fill="C6D9F1"/>
                  <w:vAlign w:val="center"/>
                </w:tcPr>
                <w:p w:rsidR="00E4620C" w:rsidRPr="00597BF5" w:rsidRDefault="00E4620C" w:rsidP="002920DB">
                  <w:pPr>
                    <w:spacing w:beforeLines="20" w:before="48" w:afterLines="20" w:after="48"/>
                    <w:jc w:val="center"/>
                    <w:rPr>
                      <w:b/>
                      <w:i/>
                      <w:sz w:val="16"/>
                      <w:szCs w:val="16"/>
                    </w:rPr>
                  </w:pPr>
                  <w:r w:rsidRPr="00597BF5">
                    <w:rPr>
                      <w:b/>
                      <w:i/>
                      <w:sz w:val="16"/>
                      <w:szCs w:val="16"/>
                    </w:rPr>
                    <w:t>2018</w:t>
                  </w:r>
                </w:p>
              </w:tc>
              <w:tc>
                <w:tcPr>
                  <w:tcW w:w="1560" w:type="dxa"/>
                  <w:shd w:val="clear" w:color="auto" w:fill="C6D9F1"/>
                  <w:vAlign w:val="center"/>
                </w:tcPr>
                <w:p w:rsidR="00E4620C" w:rsidRPr="00597BF5" w:rsidRDefault="00E4620C" w:rsidP="00792A7F">
                  <w:pPr>
                    <w:spacing w:beforeLines="20" w:before="48" w:afterLines="20" w:after="48"/>
                    <w:jc w:val="center"/>
                    <w:rPr>
                      <w:b/>
                      <w:i/>
                      <w:sz w:val="16"/>
                      <w:szCs w:val="16"/>
                    </w:rPr>
                  </w:pPr>
                  <w:r w:rsidRPr="00597BF5">
                    <w:rPr>
                      <w:b/>
                      <w:i/>
                      <w:sz w:val="16"/>
                      <w:szCs w:val="16"/>
                    </w:rPr>
                    <w:t>202</w:t>
                  </w:r>
                  <w:r>
                    <w:rPr>
                      <w:b/>
                      <w:i/>
                      <w:sz w:val="16"/>
                      <w:szCs w:val="16"/>
                    </w:rPr>
                    <w:t>3</w:t>
                  </w:r>
                </w:p>
              </w:tc>
              <w:tc>
                <w:tcPr>
                  <w:tcW w:w="1417" w:type="dxa"/>
                  <w:shd w:val="clear" w:color="auto" w:fill="C6D9F1"/>
                  <w:vAlign w:val="center"/>
                </w:tcPr>
                <w:p w:rsidR="00E4620C" w:rsidRPr="00597BF5" w:rsidRDefault="00E4620C" w:rsidP="00E4620C">
                  <w:pPr>
                    <w:spacing w:beforeLines="20" w:before="48" w:afterLines="20" w:after="48"/>
                    <w:jc w:val="center"/>
                    <w:rPr>
                      <w:b/>
                      <w:i/>
                      <w:sz w:val="16"/>
                      <w:szCs w:val="16"/>
                    </w:rPr>
                  </w:pPr>
                  <w:r w:rsidRPr="00597BF5">
                    <w:rPr>
                      <w:b/>
                      <w:i/>
                      <w:sz w:val="16"/>
                      <w:szCs w:val="16"/>
                    </w:rPr>
                    <w:t>2018/</w:t>
                  </w:r>
                  <w:r w:rsidRPr="00597BF5">
                    <w:rPr>
                      <w:b/>
                      <w:i/>
                      <w:sz w:val="16"/>
                      <w:szCs w:val="16"/>
                    </w:rPr>
                    <w:br/>
                    <w:t>202</w:t>
                  </w:r>
                  <w:r>
                    <w:rPr>
                      <w:b/>
                      <w:i/>
                      <w:sz w:val="16"/>
                      <w:szCs w:val="16"/>
                    </w:rPr>
                    <w:t>3</w:t>
                  </w:r>
                </w:p>
              </w:tc>
              <w:tc>
                <w:tcPr>
                  <w:tcW w:w="992" w:type="dxa"/>
                  <w:vMerge/>
                  <w:shd w:val="clear" w:color="auto" w:fill="C6D9F1"/>
                  <w:vAlign w:val="center"/>
                </w:tcPr>
                <w:p w:rsidR="00E4620C" w:rsidRDefault="00E4620C" w:rsidP="002920DB">
                  <w:pPr>
                    <w:spacing w:beforeLines="20" w:before="48" w:afterLines="20" w:after="48"/>
                    <w:jc w:val="center"/>
                    <w:rPr>
                      <w:b/>
                      <w:i/>
                      <w:sz w:val="20"/>
                    </w:rPr>
                  </w:pPr>
                </w:p>
              </w:tc>
            </w:tr>
            <w:tr w:rsidR="00E4620C" w:rsidRPr="00EF46F6" w:rsidTr="00AA11C8">
              <w:tc>
                <w:tcPr>
                  <w:tcW w:w="56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I</w:t>
                  </w:r>
                </w:p>
              </w:tc>
              <w:tc>
                <w:tcPr>
                  <w:tcW w:w="851"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EFRR</w:t>
                  </w:r>
                </w:p>
              </w:tc>
              <w:tc>
                <w:tcPr>
                  <w:tcW w:w="850" w:type="dxa"/>
                  <w:vAlign w:val="center"/>
                </w:tcPr>
                <w:p w:rsidR="00E4620C" w:rsidRPr="00AA11C8" w:rsidRDefault="00E4620C" w:rsidP="00AA11C8">
                  <w:pPr>
                    <w:spacing w:beforeLines="20" w:before="48" w:afterLines="20" w:after="48" w:line="240" w:lineRule="auto"/>
                    <w:jc w:val="right"/>
                    <w:rPr>
                      <w:rFonts w:asciiTheme="minorHAnsi" w:hAnsiTheme="minorHAnsi"/>
                      <w:sz w:val="14"/>
                      <w:szCs w:val="16"/>
                    </w:rPr>
                  </w:pPr>
                  <w:r w:rsidRPr="00AA11C8">
                    <w:rPr>
                      <w:rFonts w:asciiTheme="minorHAnsi" w:hAnsiTheme="minorHAnsi"/>
                      <w:sz w:val="14"/>
                      <w:szCs w:val="16"/>
                    </w:rPr>
                    <w:t>słabiej rozwinięty</w:t>
                  </w:r>
                </w:p>
              </w:tc>
              <w:tc>
                <w:tcPr>
                  <w:tcW w:w="1276" w:type="dxa"/>
                  <w:shd w:val="clear" w:color="auto" w:fill="auto"/>
                  <w:vAlign w:val="center"/>
                </w:tcPr>
                <w:p w:rsidR="00E4620C" w:rsidRPr="00AA11C8" w:rsidRDefault="009B6A15" w:rsidP="008820BF">
                  <w:pPr>
                    <w:spacing w:beforeLines="20" w:before="48" w:afterLines="20" w:after="48" w:line="240" w:lineRule="auto"/>
                    <w:jc w:val="right"/>
                    <w:rPr>
                      <w:rFonts w:asciiTheme="minorHAnsi" w:hAnsiTheme="minorHAnsi"/>
                      <w:sz w:val="16"/>
                      <w:szCs w:val="16"/>
                    </w:rPr>
                  </w:pPr>
                  <w:r w:rsidRPr="00AA11C8">
                    <w:rPr>
                      <w:rFonts w:asciiTheme="minorHAnsi" w:hAnsiTheme="minorHAnsi" w:cs="Tahoma"/>
                      <w:sz w:val="16"/>
                      <w:szCs w:val="16"/>
                    </w:rPr>
                    <w:t>1 140 </w:t>
                  </w:r>
                  <w:r w:rsidR="008820BF" w:rsidRPr="00AA11C8">
                    <w:rPr>
                      <w:rFonts w:asciiTheme="minorHAnsi" w:hAnsiTheme="minorHAnsi" w:cs="Tahoma"/>
                      <w:sz w:val="16"/>
                      <w:szCs w:val="16"/>
                    </w:rPr>
                    <w:t>9</w:t>
                  </w:r>
                  <w:r w:rsidR="008820BF">
                    <w:rPr>
                      <w:rFonts w:asciiTheme="minorHAnsi" w:hAnsiTheme="minorHAnsi" w:cs="Tahoma"/>
                      <w:sz w:val="16"/>
                      <w:szCs w:val="16"/>
                    </w:rPr>
                    <w:t>26</w:t>
                  </w:r>
                  <w:r w:rsidR="008820BF" w:rsidRPr="00AA11C8">
                    <w:rPr>
                      <w:rFonts w:asciiTheme="minorHAnsi" w:hAnsiTheme="minorHAnsi" w:cs="Tahoma"/>
                      <w:sz w:val="16"/>
                      <w:szCs w:val="16"/>
                    </w:rPr>
                    <w:t xml:space="preserve"> </w:t>
                  </w:r>
                  <w:r w:rsidR="008820BF">
                    <w:rPr>
                      <w:rFonts w:asciiTheme="minorHAnsi" w:hAnsiTheme="minorHAnsi" w:cs="Tahoma"/>
                      <w:sz w:val="16"/>
                      <w:szCs w:val="16"/>
                    </w:rPr>
                    <w:t>589</w:t>
                  </w:r>
                </w:p>
              </w:tc>
              <w:tc>
                <w:tcPr>
                  <w:tcW w:w="1559" w:type="dxa"/>
                  <w:shd w:val="clear" w:color="auto" w:fill="auto"/>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183 389 995</w:t>
                  </w:r>
                </w:p>
              </w:tc>
              <w:tc>
                <w:tcPr>
                  <w:tcW w:w="1560"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1 342</w:t>
                  </w:r>
                  <w:r w:rsidR="008820BF">
                    <w:rPr>
                      <w:rFonts w:asciiTheme="minorHAnsi" w:hAnsiTheme="minorHAnsi"/>
                      <w:sz w:val="16"/>
                      <w:szCs w:val="16"/>
                    </w:rPr>
                    <w:t> 266 576</w:t>
                  </w:r>
                </w:p>
              </w:tc>
              <w:tc>
                <w:tcPr>
                  <w:tcW w:w="1417" w:type="dxa"/>
                  <w:shd w:val="clear" w:color="auto" w:fill="auto"/>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1</w:t>
                  </w:r>
                  <w:r w:rsidR="008820BF">
                    <w:rPr>
                      <w:rFonts w:asciiTheme="minorHAnsi" w:hAnsiTheme="minorHAnsi" w:cs="Calibri"/>
                      <w:color w:val="000000"/>
                      <w:sz w:val="16"/>
                      <w:szCs w:val="16"/>
                    </w:rPr>
                    <w:t>3</w:t>
                  </w:r>
                  <w:r w:rsidRPr="00AA11C8">
                    <w:rPr>
                      <w:rFonts w:asciiTheme="minorHAnsi" w:hAnsiTheme="minorHAnsi" w:cs="Calibri"/>
                      <w:color w:val="000000"/>
                      <w:sz w:val="16"/>
                      <w:szCs w:val="16"/>
                    </w:rPr>
                    <w:t>,</w:t>
                  </w:r>
                  <w:r w:rsidR="009B6A15" w:rsidRPr="00AA11C8">
                    <w:rPr>
                      <w:rFonts w:asciiTheme="minorHAnsi" w:hAnsiTheme="minorHAnsi" w:cs="Calibri"/>
                      <w:color w:val="000000"/>
                      <w:sz w:val="16"/>
                      <w:szCs w:val="16"/>
                    </w:rPr>
                    <w:t>7</w:t>
                  </w:r>
                  <w:r w:rsidRPr="00AA11C8">
                    <w:rPr>
                      <w:rFonts w:asciiTheme="minorHAnsi" w:hAnsiTheme="minorHAnsi" w:cs="Calibri"/>
                      <w:color w:val="000000"/>
                      <w:sz w:val="16"/>
                      <w:szCs w:val="16"/>
                    </w:rPr>
                    <w:t>%</w:t>
                  </w:r>
                </w:p>
              </w:tc>
              <w:tc>
                <w:tcPr>
                  <w:tcW w:w="992"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w:t>
                  </w:r>
                </w:p>
              </w:tc>
            </w:tr>
            <w:tr w:rsidR="00E4620C" w:rsidRPr="00EF46F6" w:rsidTr="00AA11C8">
              <w:tc>
                <w:tcPr>
                  <w:tcW w:w="56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I</w:t>
                  </w:r>
                </w:p>
              </w:tc>
              <w:tc>
                <w:tcPr>
                  <w:tcW w:w="851"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EFRR</w:t>
                  </w:r>
                </w:p>
              </w:tc>
              <w:tc>
                <w:tcPr>
                  <w:tcW w:w="850" w:type="dxa"/>
                  <w:vAlign w:val="center"/>
                </w:tcPr>
                <w:p w:rsidR="00E4620C" w:rsidRPr="00AA11C8" w:rsidRDefault="00E4620C" w:rsidP="00AA11C8">
                  <w:pPr>
                    <w:spacing w:beforeLines="20" w:before="48" w:afterLines="20" w:after="48" w:line="240" w:lineRule="auto"/>
                    <w:jc w:val="right"/>
                    <w:rPr>
                      <w:rFonts w:asciiTheme="minorHAnsi" w:hAnsiTheme="minorHAnsi"/>
                      <w:sz w:val="14"/>
                      <w:szCs w:val="16"/>
                    </w:rPr>
                  </w:pPr>
                  <w:r w:rsidRPr="00AA11C8">
                    <w:rPr>
                      <w:rFonts w:asciiTheme="minorHAnsi" w:hAnsiTheme="minorHAnsi"/>
                      <w:sz w:val="14"/>
                      <w:szCs w:val="16"/>
                    </w:rPr>
                    <w:t>lepiej rozwinięty</w:t>
                  </w:r>
                </w:p>
              </w:tc>
              <w:tc>
                <w:tcPr>
                  <w:tcW w:w="1276"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sz w:val="16"/>
                      <w:szCs w:val="16"/>
                    </w:rPr>
                  </w:pPr>
                  <w:r w:rsidRPr="00AA11C8">
                    <w:rPr>
                      <w:rFonts w:asciiTheme="minorHAnsi" w:hAnsiTheme="minorHAnsi" w:cs="Tahoma"/>
                      <w:sz w:val="16"/>
                      <w:szCs w:val="16"/>
                    </w:rPr>
                    <w:t>82</w:t>
                  </w:r>
                  <w:r w:rsidR="008820BF">
                    <w:rPr>
                      <w:rFonts w:asciiTheme="minorHAnsi" w:hAnsiTheme="minorHAnsi" w:cs="Tahoma"/>
                      <w:sz w:val="16"/>
                      <w:szCs w:val="16"/>
                    </w:rPr>
                    <w:t> 631 388</w:t>
                  </w:r>
                </w:p>
              </w:tc>
              <w:tc>
                <w:tcPr>
                  <w:tcW w:w="1559" w:type="dxa"/>
                  <w:shd w:val="clear" w:color="auto" w:fill="auto"/>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14 002 012</w:t>
                  </w:r>
                </w:p>
              </w:tc>
              <w:tc>
                <w:tcPr>
                  <w:tcW w:w="1560"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103</w:t>
                  </w:r>
                  <w:r w:rsidR="008820BF">
                    <w:rPr>
                      <w:rFonts w:asciiTheme="minorHAnsi" w:hAnsiTheme="minorHAnsi"/>
                      <w:sz w:val="16"/>
                      <w:szCs w:val="16"/>
                    </w:rPr>
                    <w:t> 289 236</w:t>
                  </w:r>
                </w:p>
              </w:tc>
              <w:tc>
                <w:tcPr>
                  <w:tcW w:w="1417" w:type="dxa"/>
                  <w:shd w:val="clear" w:color="auto" w:fill="auto"/>
                  <w:vAlign w:val="center"/>
                </w:tcPr>
                <w:p w:rsidR="00E4620C" w:rsidRPr="00AA11C8" w:rsidRDefault="00E4620C">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1</w:t>
                  </w:r>
                  <w:r w:rsidR="008820BF">
                    <w:rPr>
                      <w:rFonts w:asciiTheme="minorHAnsi" w:hAnsiTheme="minorHAnsi" w:cs="Calibri"/>
                      <w:color w:val="000000"/>
                      <w:sz w:val="16"/>
                      <w:szCs w:val="16"/>
                    </w:rPr>
                    <w:t>3</w:t>
                  </w:r>
                  <w:r w:rsidRPr="00AA11C8">
                    <w:rPr>
                      <w:rFonts w:asciiTheme="minorHAnsi" w:hAnsiTheme="minorHAnsi" w:cs="Calibri"/>
                      <w:color w:val="000000"/>
                      <w:sz w:val="16"/>
                      <w:szCs w:val="16"/>
                    </w:rPr>
                    <w:t>,</w:t>
                  </w:r>
                  <w:r w:rsidR="008820BF">
                    <w:rPr>
                      <w:rFonts w:asciiTheme="minorHAnsi" w:hAnsiTheme="minorHAnsi" w:cs="Calibri"/>
                      <w:color w:val="000000"/>
                      <w:sz w:val="16"/>
                      <w:szCs w:val="16"/>
                    </w:rPr>
                    <w:t>6</w:t>
                  </w:r>
                  <w:r w:rsidRPr="00AA11C8">
                    <w:rPr>
                      <w:rFonts w:asciiTheme="minorHAnsi" w:hAnsiTheme="minorHAnsi" w:cs="Calibri"/>
                      <w:color w:val="000000"/>
                      <w:sz w:val="16"/>
                      <w:szCs w:val="16"/>
                    </w:rPr>
                    <w:t>%</w:t>
                  </w:r>
                </w:p>
              </w:tc>
              <w:tc>
                <w:tcPr>
                  <w:tcW w:w="992"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w:t>
                  </w:r>
                </w:p>
              </w:tc>
            </w:tr>
            <w:tr w:rsidR="00E4620C" w:rsidRPr="00EF46F6" w:rsidTr="00AA11C8">
              <w:tc>
                <w:tcPr>
                  <w:tcW w:w="56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II</w:t>
                  </w:r>
                </w:p>
              </w:tc>
              <w:tc>
                <w:tcPr>
                  <w:tcW w:w="851"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EFRR</w:t>
                  </w:r>
                </w:p>
              </w:tc>
              <w:tc>
                <w:tcPr>
                  <w:tcW w:w="850" w:type="dxa"/>
                  <w:vAlign w:val="center"/>
                </w:tcPr>
                <w:p w:rsidR="00E4620C" w:rsidRPr="00AA11C8" w:rsidRDefault="00E4620C" w:rsidP="00AA11C8">
                  <w:pPr>
                    <w:spacing w:beforeLines="20" w:before="48" w:afterLines="20" w:after="48" w:line="240" w:lineRule="auto"/>
                    <w:jc w:val="right"/>
                    <w:rPr>
                      <w:rFonts w:asciiTheme="minorHAnsi" w:hAnsiTheme="minorHAnsi"/>
                      <w:sz w:val="14"/>
                      <w:szCs w:val="16"/>
                    </w:rPr>
                  </w:pPr>
                  <w:r w:rsidRPr="00AA11C8">
                    <w:rPr>
                      <w:rFonts w:asciiTheme="minorHAnsi" w:hAnsiTheme="minorHAnsi"/>
                      <w:sz w:val="14"/>
                      <w:szCs w:val="16"/>
                    </w:rPr>
                    <w:t>słabiej rozwinięty</w:t>
                  </w:r>
                </w:p>
              </w:tc>
              <w:tc>
                <w:tcPr>
                  <w:tcW w:w="1276"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cs="Tahoma"/>
                      <w:sz w:val="16"/>
                      <w:szCs w:val="16"/>
                    </w:rPr>
                  </w:pPr>
                  <w:r w:rsidRPr="00AA11C8">
                    <w:rPr>
                      <w:rFonts w:asciiTheme="minorHAnsi" w:hAnsiTheme="minorHAnsi" w:cs="Tahoma"/>
                      <w:sz w:val="16"/>
                      <w:szCs w:val="16"/>
                    </w:rPr>
                    <w:t>677 125 169</w:t>
                  </w:r>
                </w:p>
              </w:tc>
              <w:tc>
                <w:tcPr>
                  <w:tcW w:w="1559" w:type="dxa"/>
                  <w:shd w:val="clear" w:color="auto" w:fill="auto"/>
                  <w:vAlign w:val="center"/>
                </w:tcPr>
                <w:p w:rsidR="00E4620C" w:rsidRPr="00AA11C8" w:rsidRDefault="00562D1A"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97 937 276</w:t>
                  </w:r>
                </w:p>
              </w:tc>
              <w:tc>
                <w:tcPr>
                  <w:tcW w:w="1560"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Tahoma"/>
                      <w:sz w:val="16"/>
                      <w:szCs w:val="16"/>
                    </w:rPr>
                    <w:t>796 617 848</w:t>
                  </w:r>
                </w:p>
              </w:tc>
              <w:tc>
                <w:tcPr>
                  <w:tcW w:w="1417"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12,3</w:t>
                  </w:r>
                  <w:r w:rsidR="00E4620C" w:rsidRPr="00AA11C8">
                    <w:rPr>
                      <w:rFonts w:asciiTheme="minorHAnsi" w:hAnsiTheme="minorHAnsi" w:cs="Calibri"/>
                      <w:color w:val="000000"/>
                      <w:sz w:val="16"/>
                      <w:szCs w:val="16"/>
                    </w:rPr>
                    <w:t>%</w:t>
                  </w:r>
                </w:p>
                <w:p w:rsidR="00E4620C" w:rsidRPr="00AA11C8" w:rsidRDefault="00E4620C" w:rsidP="00AA11C8">
                  <w:pPr>
                    <w:spacing w:beforeLines="20" w:before="48" w:afterLines="20" w:after="48" w:line="240" w:lineRule="auto"/>
                    <w:jc w:val="right"/>
                    <w:rPr>
                      <w:rFonts w:asciiTheme="minorHAnsi" w:hAnsiTheme="minorHAnsi"/>
                      <w:sz w:val="16"/>
                      <w:szCs w:val="16"/>
                    </w:rPr>
                  </w:pPr>
                </w:p>
              </w:tc>
              <w:tc>
                <w:tcPr>
                  <w:tcW w:w="992"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w:t>
                  </w:r>
                </w:p>
              </w:tc>
            </w:tr>
            <w:tr w:rsidR="00E4620C" w:rsidRPr="00EF46F6" w:rsidTr="00AA11C8">
              <w:tc>
                <w:tcPr>
                  <w:tcW w:w="56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II</w:t>
                  </w:r>
                </w:p>
              </w:tc>
              <w:tc>
                <w:tcPr>
                  <w:tcW w:w="851"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EFRR</w:t>
                  </w:r>
                </w:p>
              </w:tc>
              <w:tc>
                <w:tcPr>
                  <w:tcW w:w="850" w:type="dxa"/>
                  <w:vAlign w:val="center"/>
                </w:tcPr>
                <w:p w:rsidR="00E4620C" w:rsidRPr="00AA11C8" w:rsidRDefault="00E4620C" w:rsidP="00AA11C8">
                  <w:pPr>
                    <w:spacing w:beforeLines="20" w:before="48" w:afterLines="20" w:after="48" w:line="240" w:lineRule="auto"/>
                    <w:jc w:val="right"/>
                    <w:rPr>
                      <w:rFonts w:asciiTheme="minorHAnsi" w:hAnsiTheme="minorHAnsi"/>
                      <w:sz w:val="14"/>
                      <w:szCs w:val="16"/>
                    </w:rPr>
                  </w:pPr>
                  <w:r w:rsidRPr="00AA11C8">
                    <w:rPr>
                      <w:rFonts w:asciiTheme="minorHAnsi" w:hAnsiTheme="minorHAnsi"/>
                      <w:sz w:val="14"/>
                      <w:szCs w:val="16"/>
                    </w:rPr>
                    <w:t>lepiej rozwinięty</w:t>
                  </w:r>
                </w:p>
              </w:tc>
              <w:tc>
                <w:tcPr>
                  <w:tcW w:w="1276"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cs="Tahoma"/>
                      <w:sz w:val="16"/>
                      <w:szCs w:val="16"/>
                    </w:rPr>
                  </w:pPr>
                  <w:r w:rsidRPr="00AA11C8">
                    <w:rPr>
                      <w:rFonts w:asciiTheme="minorHAnsi" w:hAnsiTheme="minorHAnsi" w:cs="Tahoma"/>
                      <w:sz w:val="16"/>
                      <w:szCs w:val="16"/>
                    </w:rPr>
                    <w:t>50 966 410</w:t>
                  </w:r>
                </w:p>
              </w:tc>
              <w:tc>
                <w:tcPr>
                  <w:tcW w:w="1559" w:type="dxa"/>
                  <w:shd w:val="clear" w:color="auto" w:fill="auto"/>
                  <w:vAlign w:val="center"/>
                </w:tcPr>
                <w:p w:rsidR="00E4620C" w:rsidRPr="00AA11C8" w:rsidRDefault="00562D1A"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7 832 349</w:t>
                  </w:r>
                </w:p>
              </w:tc>
              <w:tc>
                <w:tcPr>
                  <w:tcW w:w="1560"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Tahoma"/>
                      <w:sz w:val="16"/>
                      <w:szCs w:val="16"/>
                    </w:rPr>
                    <w:t>63 708 013</w:t>
                  </w:r>
                </w:p>
              </w:tc>
              <w:tc>
                <w:tcPr>
                  <w:tcW w:w="1417"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12,3</w:t>
                  </w:r>
                  <w:r w:rsidR="00E4620C" w:rsidRPr="00AA11C8">
                    <w:rPr>
                      <w:rFonts w:asciiTheme="minorHAnsi" w:hAnsiTheme="minorHAnsi" w:cs="Calibri"/>
                      <w:color w:val="000000"/>
                      <w:sz w:val="16"/>
                      <w:szCs w:val="16"/>
                    </w:rPr>
                    <w:t>%</w:t>
                  </w:r>
                </w:p>
                <w:p w:rsidR="00E4620C" w:rsidRPr="00AA11C8" w:rsidRDefault="00E4620C" w:rsidP="00AA11C8">
                  <w:pPr>
                    <w:spacing w:beforeLines="20" w:before="48" w:afterLines="20" w:after="48" w:line="240" w:lineRule="auto"/>
                    <w:jc w:val="right"/>
                    <w:rPr>
                      <w:rFonts w:asciiTheme="minorHAnsi" w:hAnsiTheme="minorHAnsi"/>
                      <w:sz w:val="16"/>
                      <w:szCs w:val="16"/>
                    </w:rPr>
                  </w:pPr>
                </w:p>
              </w:tc>
              <w:tc>
                <w:tcPr>
                  <w:tcW w:w="992"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w:t>
                  </w:r>
                </w:p>
              </w:tc>
            </w:tr>
            <w:tr w:rsidR="00E4620C" w:rsidRPr="00EF46F6" w:rsidTr="00AA11C8">
              <w:tc>
                <w:tcPr>
                  <w:tcW w:w="56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III</w:t>
                  </w:r>
                </w:p>
              </w:tc>
              <w:tc>
                <w:tcPr>
                  <w:tcW w:w="851"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EFRR</w:t>
                  </w:r>
                </w:p>
              </w:tc>
              <w:tc>
                <w:tcPr>
                  <w:tcW w:w="850" w:type="dxa"/>
                  <w:vAlign w:val="center"/>
                </w:tcPr>
                <w:p w:rsidR="00E4620C" w:rsidRPr="00AA11C8" w:rsidRDefault="00E4620C" w:rsidP="00AA11C8">
                  <w:pPr>
                    <w:spacing w:beforeLines="20" w:before="48" w:afterLines="20" w:after="48" w:line="240" w:lineRule="auto"/>
                    <w:jc w:val="right"/>
                    <w:rPr>
                      <w:rFonts w:asciiTheme="minorHAnsi" w:hAnsiTheme="minorHAnsi"/>
                      <w:sz w:val="14"/>
                      <w:szCs w:val="16"/>
                    </w:rPr>
                  </w:pPr>
                  <w:r w:rsidRPr="00AA11C8">
                    <w:rPr>
                      <w:rFonts w:asciiTheme="minorHAnsi" w:hAnsiTheme="minorHAnsi"/>
                      <w:sz w:val="14"/>
                      <w:szCs w:val="16"/>
                    </w:rPr>
                    <w:t>słabiej rozwinięty</w:t>
                  </w:r>
                </w:p>
              </w:tc>
              <w:tc>
                <w:tcPr>
                  <w:tcW w:w="1276"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cs="Tahoma"/>
                      <w:sz w:val="16"/>
                      <w:szCs w:val="16"/>
                    </w:rPr>
                  </w:pPr>
                  <w:r w:rsidRPr="00AA11C8">
                    <w:rPr>
                      <w:rFonts w:asciiTheme="minorHAnsi" w:hAnsiTheme="minorHAnsi" w:cs="Tahoma"/>
                      <w:sz w:val="16"/>
                      <w:szCs w:val="16"/>
                    </w:rPr>
                    <w:t>151</w:t>
                  </w:r>
                  <w:r w:rsidR="008820BF">
                    <w:rPr>
                      <w:rFonts w:asciiTheme="minorHAnsi" w:hAnsiTheme="minorHAnsi" w:cs="Tahoma"/>
                      <w:sz w:val="16"/>
                      <w:szCs w:val="16"/>
                    </w:rPr>
                    <w:t> 754 716</w:t>
                  </w:r>
                </w:p>
              </w:tc>
              <w:tc>
                <w:tcPr>
                  <w:tcW w:w="1559" w:type="dxa"/>
                  <w:shd w:val="clear" w:color="auto" w:fill="auto"/>
                  <w:vAlign w:val="center"/>
                </w:tcPr>
                <w:p w:rsidR="00E4620C" w:rsidRPr="00AA11C8" w:rsidRDefault="00562D1A"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 xml:space="preserve">9 </w:t>
                  </w:r>
                  <w:r w:rsidR="00585765" w:rsidRPr="00AA11C8">
                    <w:rPr>
                      <w:rFonts w:asciiTheme="minorHAnsi" w:hAnsiTheme="minorHAnsi" w:cs="Calibri"/>
                      <w:color w:val="000000"/>
                      <w:sz w:val="16"/>
                      <w:szCs w:val="16"/>
                    </w:rPr>
                    <w:t>549 462</w:t>
                  </w:r>
                </w:p>
              </w:tc>
              <w:tc>
                <w:tcPr>
                  <w:tcW w:w="1560"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sz w:val="16"/>
                      <w:szCs w:val="16"/>
                    </w:rPr>
                  </w:pPr>
                  <w:r w:rsidRPr="00AA11C8">
                    <w:rPr>
                      <w:rFonts w:asciiTheme="minorHAnsi" w:hAnsiTheme="minorHAnsi" w:cs="Tahoma"/>
                      <w:sz w:val="16"/>
                      <w:szCs w:val="16"/>
                    </w:rPr>
                    <w:t>178</w:t>
                  </w:r>
                  <w:r w:rsidR="008820BF">
                    <w:rPr>
                      <w:rFonts w:asciiTheme="minorHAnsi" w:hAnsiTheme="minorHAnsi" w:cs="Tahoma"/>
                      <w:sz w:val="16"/>
                      <w:szCs w:val="16"/>
                    </w:rPr>
                    <w:t> 534 961</w:t>
                  </w:r>
                </w:p>
              </w:tc>
              <w:tc>
                <w:tcPr>
                  <w:tcW w:w="1417"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5,</w:t>
                  </w:r>
                  <w:r w:rsidR="008820BF">
                    <w:rPr>
                      <w:rFonts w:asciiTheme="minorHAnsi" w:hAnsiTheme="minorHAnsi" w:cs="Calibri"/>
                      <w:color w:val="000000"/>
                      <w:sz w:val="16"/>
                      <w:szCs w:val="16"/>
                    </w:rPr>
                    <w:t>3</w:t>
                  </w:r>
                  <w:r w:rsidR="00E4620C" w:rsidRPr="00AA11C8">
                    <w:rPr>
                      <w:rFonts w:asciiTheme="minorHAnsi" w:hAnsiTheme="minorHAnsi" w:cs="Calibri"/>
                      <w:color w:val="000000"/>
                      <w:sz w:val="16"/>
                      <w:szCs w:val="16"/>
                    </w:rPr>
                    <w:t>%</w:t>
                  </w:r>
                </w:p>
                <w:p w:rsidR="00E4620C" w:rsidRPr="00AA11C8" w:rsidRDefault="00E4620C" w:rsidP="00AA11C8">
                  <w:pPr>
                    <w:spacing w:beforeLines="20" w:before="48" w:afterLines="20" w:after="48" w:line="240" w:lineRule="auto"/>
                    <w:jc w:val="right"/>
                    <w:rPr>
                      <w:rFonts w:asciiTheme="minorHAnsi" w:hAnsiTheme="minorHAnsi"/>
                      <w:sz w:val="16"/>
                      <w:szCs w:val="16"/>
                    </w:rPr>
                  </w:pPr>
                </w:p>
              </w:tc>
              <w:tc>
                <w:tcPr>
                  <w:tcW w:w="992"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w:t>
                  </w:r>
                </w:p>
              </w:tc>
            </w:tr>
            <w:tr w:rsidR="00E4620C" w:rsidRPr="00EF46F6" w:rsidTr="00AA11C8">
              <w:tc>
                <w:tcPr>
                  <w:tcW w:w="56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III</w:t>
                  </w:r>
                </w:p>
              </w:tc>
              <w:tc>
                <w:tcPr>
                  <w:tcW w:w="851"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EFRR</w:t>
                  </w:r>
                </w:p>
              </w:tc>
              <w:tc>
                <w:tcPr>
                  <w:tcW w:w="850" w:type="dxa"/>
                  <w:vAlign w:val="center"/>
                </w:tcPr>
                <w:p w:rsidR="00E4620C" w:rsidRPr="00AA11C8" w:rsidRDefault="00E4620C" w:rsidP="00AA11C8">
                  <w:pPr>
                    <w:spacing w:beforeLines="20" w:before="48" w:afterLines="20" w:after="48" w:line="240" w:lineRule="auto"/>
                    <w:jc w:val="right"/>
                    <w:rPr>
                      <w:rFonts w:asciiTheme="minorHAnsi" w:hAnsiTheme="minorHAnsi"/>
                      <w:sz w:val="14"/>
                      <w:szCs w:val="16"/>
                    </w:rPr>
                  </w:pPr>
                  <w:r w:rsidRPr="00AA11C8">
                    <w:rPr>
                      <w:rFonts w:asciiTheme="minorHAnsi" w:hAnsiTheme="minorHAnsi"/>
                      <w:sz w:val="14"/>
                      <w:szCs w:val="16"/>
                    </w:rPr>
                    <w:t>lepiej rozwinięty</w:t>
                  </w:r>
                </w:p>
              </w:tc>
              <w:tc>
                <w:tcPr>
                  <w:tcW w:w="1276"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cs="Tahoma"/>
                      <w:sz w:val="16"/>
                      <w:szCs w:val="16"/>
                    </w:rPr>
                  </w:pPr>
                  <w:r w:rsidRPr="00AA11C8">
                    <w:rPr>
                      <w:rFonts w:asciiTheme="minorHAnsi" w:hAnsiTheme="minorHAnsi" w:cs="Tahoma"/>
                      <w:sz w:val="16"/>
                      <w:szCs w:val="16"/>
                    </w:rPr>
                    <w:t>11</w:t>
                  </w:r>
                  <w:r w:rsidR="008820BF">
                    <w:rPr>
                      <w:rFonts w:asciiTheme="minorHAnsi" w:hAnsiTheme="minorHAnsi" w:cs="Tahoma"/>
                      <w:sz w:val="16"/>
                      <w:szCs w:val="16"/>
                    </w:rPr>
                    <w:t> 422 398</w:t>
                  </w:r>
                </w:p>
              </w:tc>
              <w:tc>
                <w:tcPr>
                  <w:tcW w:w="1559" w:type="dxa"/>
                  <w:shd w:val="clear" w:color="auto" w:fill="auto"/>
                  <w:vAlign w:val="center"/>
                </w:tcPr>
                <w:p w:rsidR="00E4620C" w:rsidRPr="00AA11C8" w:rsidRDefault="0058576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763 700</w:t>
                  </w:r>
                </w:p>
              </w:tc>
              <w:tc>
                <w:tcPr>
                  <w:tcW w:w="1560" w:type="dxa"/>
                  <w:shd w:val="clear" w:color="auto" w:fill="auto"/>
                  <w:vAlign w:val="center"/>
                </w:tcPr>
                <w:p w:rsidR="00E4620C" w:rsidRPr="00AA11C8" w:rsidRDefault="009B6A15">
                  <w:pPr>
                    <w:spacing w:beforeLines="20" w:before="48" w:afterLines="20" w:after="48" w:line="240" w:lineRule="auto"/>
                    <w:jc w:val="right"/>
                    <w:rPr>
                      <w:rFonts w:asciiTheme="minorHAnsi" w:hAnsiTheme="minorHAnsi"/>
                      <w:sz w:val="16"/>
                      <w:szCs w:val="16"/>
                    </w:rPr>
                  </w:pPr>
                  <w:r w:rsidRPr="00AA11C8">
                    <w:rPr>
                      <w:rFonts w:asciiTheme="minorHAnsi" w:hAnsiTheme="minorHAnsi"/>
                      <w:sz w:val="16"/>
                      <w:szCs w:val="16"/>
                    </w:rPr>
                    <w:t>14</w:t>
                  </w:r>
                  <w:r w:rsidR="008820BF">
                    <w:rPr>
                      <w:rFonts w:asciiTheme="minorHAnsi" w:hAnsiTheme="minorHAnsi"/>
                      <w:sz w:val="16"/>
                      <w:szCs w:val="16"/>
                    </w:rPr>
                    <w:t> 277 998</w:t>
                  </w:r>
                </w:p>
              </w:tc>
              <w:tc>
                <w:tcPr>
                  <w:tcW w:w="1417" w:type="dxa"/>
                  <w:shd w:val="clear" w:color="auto" w:fill="auto"/>
                  <w:vAlign w:val="center"/>
                </w:tcPr>
                <w:p w:rsidR="00E4620C" w:rsidRPr="00AA11C8" w:rsidRDefault="009B6A15"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5,</w:t>
                  </w:r>
                  <w:r w:rsidR="008820BF">
                    <w:rPr>
                      <w:rFonts w:asciiTheme="minorHAnsi" w:hAnsiTheme="minorHAnsi" w:cs="Calibri"/>
                      <w:color w:val="000000"/>
                      <w:sz w:val="16"/>
                      <w:szCs w:val="16"/>
                    </w:rPr>
                    <w:t>3</w:t>
                  </w:r>
                  <w:r w:rsidR="00E4620C" w:rsidRPr="00AA11C8">
                    <w:rPr>
                      <w:rFonts w:asciiTheme="minorHAnsi" w:hAnsiTheme="minorHAnsi" w:cs="Calibri"/>
                      <w:color w:val="000000"/>
                      <w:sz w:val="16"/>
                      <w:szCs w:val="16"/>
                    </w:rPr>
                    <w:t>%</w:t>
                  </w:r>
                </w:p>
                <w:p w:rsidR="00E4620C" w:rsidRPr="00AA11C8" w:rsidRDefault="00E4620C" w:rsidP="00AA11C8">
                  <w:pPr>
                    <w:spacing w:beforeLines="20" w:before="48" w:afterLines="20" w:after="48" w:line="240" w:lineRule="auto"/>
                    <w:jc w:val="right"/>
                    <w:rPr>
                      <w:rFonts w:asciiTheme="minorHAnsi" w:hAnsiTheme="minorHAnsi"/>
                      <w:sz w:val="16"/>
                      <w:szCs w:val="16"/>
                    </w:rPr>
                  </w:pPr>
                </w:p>
              </w:tc>
              <w:tc>
                <w:tcPr>
                  <w:tcW w:w="992" w:type="dxa"/>
                  <w:vAlign w:val="center"/>
                </w:tcPr>
                <w:p w:rsidR="00E4620C" w:rsidRPr="00AA11C8" w:rsidRDefault="00E4620C" w:rsidP="00AA11C8">
                  <w:pPr>
                    <w:spacing w:beforeLines="20" w:before="48" w:afterLines="20" w:after="48" w:line="240" w:lineRule="auto"/>
                    <w:jc w:val="right"/>
                    <w:rPr>
                      <w:rFonts w:asciiTheme="minorHAnsi" w:hAnsiTheme="minorHAnsi"/>
                      <w:sz w:val="16"/>
                      <w:szCs w:val="16"/>
                    </w:rPr>
                  </w:pPr>
                  <w:r w:rsidRPr="00AA11C8">
                    <w:rPr>
                      <w:rFonts w:asciiTheme="minorHAnsi" w:hAnsiTheme="minorHAnsi" w:cs="Calibri"/>
                      <w:color w:val="000000"/>
                      <w:sz w:val="16"/>
                      <w:szCs w:val="16"/>
                    </w:rPr>
                    <w:t>*</w:t>
                  </w:r>
                </w:p>
              </w:tc>
            </w:tr>
            <w:tr w:rsidR="00E4620C" w:rsidRPr="00EF46F6" w:rsidTr="00AA11C8">
              <w:tc>
                <w:tcPr>
                  <w:tcW w:w="2263" w:type="dxa"/>
                  <w:gridSpan w:val="3"/>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b/>
                      <w:sz w:val="16"/>
                      <w:szCs w:val="16"/>
                    </w:rPr>
                  </w:pPr>
                  <w:r w:rsidRPr="00AA11C8">
                    <w:rPr>
                      <w:rFonts w:asciiTheme="minorHAnsi" w:hAnsiTheme="minorHAnsi"/>
                      <w:b/>
                      <w:sz w:val="16"/>
                      <w:szCs w:val="16"/>
                    </w:rPr>
                    <w:t>razem</w:t>
                  </w:r>
                </w:p>
              </w:tc>
              <w:tc>
                <w:tcPr>
                  <w:tcW w:w="1276"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b/>
                      <w:sz w:val="16"/>
                      <w:szCs w:val="16"/>
                    </w:rPr>
                  </w:pPr>
                  <w:r w:rsidRPr="00AA11C8">
                    <w:rPr>
                      <w:rFonts w:asciiTheme="minorHAnsi" w:hAnsiTheme="minorHAnsi" w:cs="Calibri"/>
                      <w:b/>
                      <w:color w:val="000000"/>
                      <w:sz w:val="16"/>
                      <w:szCs w:val="16"/>
                    </w:rPr>
                    <w:t>2 114 826 670</w:t>
                  </w:r>
                </w:p>
              </w:tc>
              <w:tc>
                <w:tcPr>
                  <w:tcW w:w="1559" w:type="dxa"/>
                  <w:shd w:val="clear" w:color="auto" w:fill="D9D9D9"/>
                  <w:vAlign w:val="center"/>
                </w:tcPr>
                <w:p w:rsidR="00E4620C" w:rsidRPr="00AA11C8" w:rsidRDefault="00585765" w:rsidP="00AA11C8">
                  <w:pPr>
                    <w:spacing w:beforeLines="20" w:before="48" w:afterLines="20" w:after="48" w:line="240" w:lineRule="auto"/>
                    <w:jc w:val="right"/>
                    <w:rPr>
                      <w:rFonts w:asciiTheme="minorHAnsi" w:hAnsiTheme="minorHAnsi"/>
                      <w:b/>
                      <w:sz w:val="16"/>
                      <w:szCs w:val="16"/>
                    </w:rPr>
                  </w:pPr>
                  <w:r w:rsidRPr="00AA11C8">
                    <w:rPr>
                      <w:rFonts w:asciiTheme="minorHAnsi" w:hAnsiTheme="minorHAnsi" w:cs="Calibri"/>
                      <w:b/>
                      <w:color w:val="000000"/>
                      <w:sz w:val="16"/>
                      <w:szCs w:val="16"/>
                    </w:rPr>
                    <w:t>313 474 794</w:t>
                  </w:r>
                </w:p>
              </w:tc>
              <w:tc>
                <w:tcPr>
                  <w:tcW w:w="1560"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b/>
                      <w:sz w:val="16"/>
                      <w:szCs w:val="16"/>
                    </w:rPr>
                  </w:pPr>
                  <w:r w:rsidRPr="00AA11C8">
                    <w:rPr>
                      <w:rFonts w:asciiTheme="minorHAnsi" w:hAnsiTheme="minorHAnsi" w:cs="Calibri"/>
                      <w:b/>
                      <w:color w:val="000000"/>
                      <w:sz w:val="16"/>
                      <w:szCs w:val="16"/>
                    </w:rPr>
                    <w:t>2 498 694 632</w:t>
                  </w:r>
                </w:p>
              </w:tc>
              <w:tc>
                <w:tcPr>
                  <w:tcW w:w="1417" w:type="dxa"/>
                  <w:shd w:val="clear" w:color="auto" w:fill="D9D9D9"/>
                  <w:vAlign w:val="center"/>
                </w:tcPr>
                <w:p w:rsidR="00E4620C" w:rsidRPr="00AA11C8" w:rsidRDefault="00585765" w:rsidP="00AA11C8">
                  <w:pPr>
                    <w:spacing w:beforeLines="20" w:before="48" w:afterLines="20" w:after="48" w:line="240" w:lineRule="auto"/>
                    <w:jc w:val="right"/>
                    <w:rPr>
                      <w:rFonts w:asciiTheme="minorHAnsi" w:hAnsiTheme="minorHAnsi"/>
                      <w:b/>
                      <w:sz w:val="16"/>
                      <w:szCs w:val="16"/>
                    </w:rPr>
                  </w:pPr>
                  <w:r w:rsidRPr="00AA11C8">
                    <w:rPr>
                      <w:rFonts w:asciiTheme="minorHAnsi" w:hAnsiTheme="minorHAnsi" w:cs="Calibri"/>
                      <w:b/>
                      <w:color w:val="000000"/>
                      <w:sz w:val="16"/>
                      <w:szCs w:val="16"/>
                    </w:rPr>
                    <w:t>12,5</w:t>
                  </w:r>
                  <w:r w:rsidR="00E4620C" w:rsidRPr="00AA11C8">
                    <w:rPr>
                      <w:rFonts w:asciiTheme="minorHAnsi" w:hAnsiTheme="minorHAnsi" w:cs="Calibri"/>
                      <w:b/>
                      <w:color w:val="000000"/>
                      <w:sz w:val="16"/>
                      <w:szCs w:val="16"/>
                    </w:rPr>
                    <w:t>%</w:t>
                  </w:r>
                </w:p>
              </w:tc>
              <w:tc>
                <w:tcPr>
                  <w:tcW w:w="992" w:type="dxa"/>
                  <w:shd w:val="clear" w:color="auto" w:fill="D9D9D9"/>
                  <w:vAlign w:val="center"/>
                </w:tcPr>
                <w:p w:rsidR="00E4620C" w:rsidRPr="00AA11C8" w:rsidRDefault="00E4620C" w:rsidP="00AA11C8">
                  <w:pPr>
                    <w:spacing w:beforeLines="20" w:before="48" w:afterLines="20" w:after="48" w:line="240" w:lineRule="auto"/>
                    <w:jc w:val="right"/>
                    <w:rPr>
                      <w:rFonts w:asciiTheme="minorHAnsi" w:hAnsiTheme="minorHAnsi"/>
                      <w:b/>
                      <w:sz w:val="16"/>
                      <w:szCs w:val="16"/>
                    </w:rPr>
                  </w:pPr>
                  <w:r w:rsidRPr="00AA11C8">
                    <w:rPr>
                      <w:rFonts w:asciiTheme="minorHAnsi" w:hAnsiTheme="minorHAnsi" w:cs="Calibri"/>
                      <w:b/>
                      <w:color w:val="000000"/>
                      <w:sz w:val="16"/>
                      <w:szCs w:val="16"/>
                    </w:rPr>
                    <w:t>*</w:t>
                  </w:r>
                </w:p>
              </w:tc>
            </w:tr>
          </w:tbl>
          <w:p w:rsidR="00AF4783" w:rsidRPr="00597BF5" w:rsidRDefault="00C82719" w:rsidP="00597BF5">
            <w:pPr>
              <w:jc w:val="both"/>
              <w:rPr>
                <w:rFonts w:cs="Calibri"/>
                <w:sz w:val="20"/>
                <w:szCs w:val="20"/>
              </w:rPr>
            </w:pPr>
            <w:r>
              <w:rPr>
                <w:rFonts w:cs="Calibri"/>
                <w:sz w:val="20"/>
                <w:szCs w:val="20"/>
              </w:rPr>
              <w:t>*Szczegółowe wyjaśnienia planowanego tempa certyfikacji wydatków w poszczególnych osiach opisano powyżej</w:t>
            </w:r>
            <w:r w:rsidR="00EC09E9">
              <w:rPr>
                <w:rFonts w:cs="Calibri"/>
                <w:sz w:val="20"/>
                <w:szCs w:val="20"/>
              </w:rPr>
              <w:t xml:space="preserve"> w pkt 4</w:t>
            </w:r>
            <w:r>
              <w:rPr>
                <w:rFonts w:cs="Calibri"/>
                <w:sz w:val="20"/>
                <w:szCs w:val="20"/>
              </w:rPr>
              <w:t xml:space="preserve"> oraz w p</w:t>
            </w:r>
            <w:r w:rsidR="00EC09E9">
              <w:rPr>
                <w:rFonts w:cs="Calibri"/>
                <w:sz w:val="20"/>
                <w:szCs w:val="20"/>
              </w:rPr>
              <w:t>k</w:t>
            </w:r>
            <w:r>
              <w:rPr>
                <w:rFonts w:cs="Calibri"/>
                <w:sz w:val="20"/>
                <w:szCs w:val="20"/>
              </w:rPr>
              <w:t xml:space="preserve">t a </w:t>
            </w:r>
            <w:r w:rsidR="00EC09E9">
              <w:rPr>
                <w:rFonts w:cs="Calibri"/>
                <w:sz w:val="20"/>
                <w:szCs w:val="20"/>
              </w:rPr>
              <w:t xml:space="preserve">metodologii </w:t>
            </w:r>
            <w:r>
              <w:rPr>
                <w:rFonts w:cs="Calibri"/>
                <w:sz w:val="20"/>
                <w:szCs w:val="20"/>
              </w:rPr>
              <w:t>poszczególnych osi priorytetowych.</w:t>
            </w:r>
          </w:p>
          <w:p w:rsidR="00AF4783" w:rsidRPr="00597BF5" w:rsidRDefault="00AF4783" w:rsidP="00597BF5">
            <w:pPr>
              <w:numPr>
                <w:ilvl w:val="0"/>
                <w:numId w:val="17"/>
              </w:numPr>
              <w:ind w:left="284" w:hanging="284"/>
              <w:jc w:val="both"/>
              <w:rPr>
                <w:rFonts w:cs="Calibri"/>
                <w:sz w:val="20"/>
                <w:szCs w:val="20"/>
              </w:rPr>
            </w:pPr>
            <w:r w:rsidRPr="00597BF5">
              <w:rPr>
                <w:rFonts w:cs="Calibri"/>
                <w:b/>
                <w:sz w:val="20"/>
                <w:szCs w:val="20"/>
              </w:rPr>
              <w:t>Wskaźniki produktu</w:t>
            </w:r>
            <w:r w:rsidRPr="00597BF5">
              <w:rPr>
                <w:rFonts w:cs="Calibri"/>
                <w:sz w:val="20"/>
                <w:szCs w:val="20"/>
              </w:rPr>
              <w:t xml:space="preserve"> – wszystkie wskaźniki produktu zastosowane w ramach wykonania zostały zaczerpnięte z tabeli 5 programu operacyjnego, dzięki temu ramy wykonania są związane bezpośrednio z realizacją celów szczegółowych na danej osi. Zostały one zaczerpnięte ze Wspólnej Listy Wskaźników Kluczowych</w:t>
            </w:r>
            <w:r w:rsidR="00F908CA">
              <w:rPr>
                <w:rFonts w:cs="Calibri"/>
                <w:sz w:val="20"/>
                <w:szCs w:val="20"/>
              </w:rPr>
              <w:t xml:space="preserve"> (WLWK)</w:t>
            </w:r>
            <w:r w:rsidRPr="00597BF5">
              <w:rPr>
                <w:rFonts w:cs="Calibri"/>
                <w:sz w:val="20"/>
                <w:szCs w:val="20"/>
              </w:rPr>
              <w:t>, dzięki czemu zapewniona została spójność systemu ram wykonania z systemem programowania i monitorowania postępów we wdrażaniu dla wszystkich programów operacyjnych. Kluczowy etap wdrażania (KEW) jest stosowany wówczas, gdy wartość celu pośredniego oszacowana dla wskaźnika produktu jest równa zeru, a może być stosowany również wtedy, gdy jest ona niewielka lub trudna do oszacowania. KEW jest bezpośrednio powiązany z jednym, konkretnym wskaźnikiem produktu, ale nie zastępuje go i jest dodatkowym elementem ram wykonania.</w:t>
            </w:r>
          </w:p>
          <w:p w:rsidR="00AF4783" w:rsidRPr="00597BF5" w:rsidRDefault="00AF4783" w:rsidP="00597BF5">
            <w:pPr>
              <w:numPr>
                <w:ilvl w:val="0"/>
                <w:numId w:val="17"/>
              </w:numPr>
              <w:ind w:left="284" w:hanging="284"/>
              <w:jc w:val="both"/>
              <w:rPr>
                <w:rFonts w:cs="Calibri"/>
                <w:sz w:val="20"/>
                <w:szCs w:val="20"/>
              </w:rPr>
            </w:pPr>
            <w:r w:rsidRPr="00597BF5">
              <w:rPr>
                <w:rFonts w:cs="Calibri"/>
                <w:b/>
                <w:sz w:val="20"/>
                <w:szCs w:val="20"/>
              </w:rPr>
              <w:t>Dla wszystkich programów operacyjnych przyjęto takie same parametry makroekonomiczne</w:t>
            </w:r>
            <w:r w:rsidRPr="00597BF5">
              <w:rPr>
                <w:rFonts w:cs="Calibri"/>
                <w:sz w:val="20"/>
                <w:szCs w:val="20"/>
              </w:rPr>
              <w:t xml:space="preserve">, biorąc pod uwagę „Wytyczne dotyczące stosowania jednolitych wskaźników makroekonomicznych będących podstawą oszacowania skutków finansowych projektowanych ustaw” opracowane przez Ministerstwo Finansów (aktualizacja – czerwiec 2014 r.). W celu możliwie największego urealnienia tych prognoz, wykorzystano metodę wyliczenia średniej ważonej, przyjmując przy tym, że tempo wydatkowania środków w okresie 2014-2020 będzie podobne do tego dla lat 2007-2013. Na tej podstawie określono ważony </w:t>
            </w:r>
            <w:r w:rsidRPr="00597BF5">
              <w:rPr>
                <w:rFonts w:cs="Calibri"/>
                <w:b/>
                <w:sz w:val="20"/>
                <w:szCs w:val="20"/>
              </w:rPr>
              <w:t xml:space="preserve">kurs EUR/PLN o wartości 3,55 zł </w:t>
            </w:r>
            <w:r w:rsidRPr="00597BF5">
              <w:rPr>
                <w:rFonts w:cs="Calibri"/>
                <w:sz w:val="20"/>
                <w:szCs w:val="20"/>
              </w:rPr>
              <w:t xml:space="preserve">wspólny dla wszystkich programów operacyjnych. Uwzględniono również prognozowaną dynamikę cen specyficzną dla danego typu projektów, posługując się </w:t>
            </w:r>
            <w:r w:rsidRPr="00597BF5">
              <w:rPr>
                <w:rFonts w:cs="Calibri"/>
                <w:b/>
                <w:sz w:val="20"/>
                <w:szCs w:val="20"/>
              </w:rPr>
              <w:t>trzema następującymi indeksami</w:t>
            </w:r>
            <w:r w:rsidRPr="00597BF5">
              <w:rPr>
                <w:rFonts w:cs="Calibri"/>
                <w:sz w:val="20"/>
                <w:szCs w:val="20"/>
              </w:rPr>
              <w:t xml:space="preserve">: </w:t>
            </w:r>
          </w:p>
          <w:p w:rsidR="00AF4783" w:rsidRPr="00597BF5" w:rsidRDefault="00AF4783" w:rsidP="00597BF5">
            <w:pPr>
              <w:numPr>
                <w:ilvl w:val="1"/>
                <w:numId w:val="17"/>
              </w:numPr>
              <w:ind w:left="567" w:hanging="283"/>
              <w:jc w:val="both"/>
              <w:rPr>
                <w:rFonts w:cs="Calibri"/>
                <w:sz w:val="20"/>
                <w:szCs w:val="20"/>
              </w:rPr>
            </w:pPr>
            <w:r w:rsidRPr="00597BF5">
              <w:rPr>
                <w:rFonts w:cs="Calibri"/>
                <w:sz w:val="20"/>
                <w:szCs w:val="20"/>
              </w:rPr>
              <w:t xml:space="preserve">Wskaźnik cen towarów i usług konsumpcyjnych (CPI – Consumer </w:t>
            </w:r>
            <w:proofErr w:type="spellStart"/>
            <w:r w:rsidRPr="00597BF5">
              <w:rPr>
                <w:rFonts w:cs="Calibri"/>
                <w:sz w:val="20"/>
                <w:szCs w:val="20"/>
              </w:rPr>
              <w:t>Price</w:t>
            </w:r>
            <w:proofErr w:type="spellEnd"/>
            <w:r w:rsidRPr="00597BF5">
              <w:rPr>
                <w:rFonts w:cs="Calibri"/>
                <w:sz w:val="20"/>
                <w:szCs w:val="20"/>
              </w:rPr>
              <w:t xml:space="preserve"> Index) – do zastosowania w projektach miękkich, dla których decydujące znaczenie maja wynagrodzenia pracowników. Zakłada się, że w ujęciu skumulowanym jego wartość ważona dla lat 2007-2013 wynosi 94,24%, a dla lat 2014-2023 – 113,79%;</w:t>
            </w:r>
          </w:p>
          <w:p w:rsidR="00AF4783" w:rsidRPr="00597BF5" w:rsidRDefault="00AF4783" w:rsidP="00597BF5">
            <w:pPr>
              <w:numPr>
                <w:ilvl w:val="1"/>
                <w:numId w:val="17"/>
              </w:numPr>
              <w:ind w:left="567" w:hanging="283"/>
              <w:jc w:val="both"/>
              <w:rPr>
                <w:rFonts w:cs="Calibri"/>
                <w:sz w:val="20"/>
                <w:szCs w:val="20"/>
              </w:rPr>
            </w:pPr>
            <w:r w:rsidRPr="00597BF5">
              <w:rPr>
                <w:rFonts w:cs="Calibri"/>
                <w:sz w:val="20"/>
                <w:szCs w:val="20"/>
              </w:rPr>
              <w:t>Wskaźnik cen produkcji sprzedanej przemysłu (WCPSP) – do zastosowania w projektach związanych ze wsparciem przedsiębiorstw. Zakłada się, że w ujęciu skumulowanym jego wartość ważona dla lat 2007-2013 wynosi 96,77%, a dla lat 2014-2023 – 114,10%;</w:t>
            </w:r>
          </w:p>
          <w:p w:rsidR="00AF4783" w:rsidRPr="00597BF5" w:rsidRDefault="00AF4783" w:rsidP="00597BF5">
            <w:pPr>
              <w:numPr>
                <w:ilvl w:val="1"/>
                <w:numId w:val="17"/>
              </w:numPr>
              <w:ind w:left="567" w:hanging="283"/>
              <w:jc w:val="both"/>
              <w:rPr>
                <w:rFonts w:cs="Calibri"/>
                <w:sz w:val="20"/>
                <w:szCs w:val="20"/>
              </w:rPr>
            </w:pPr>
            <w:r w:rsidRPr="00597BF5">
              <w:rPr>
                <w:rFonts w:cs="Calibri"/>
                <w:sz w:val="20"/>
                <w:szCs w:val="20"/>
              </w:rPr>
              <w:t xml:space="preserve">Wskaźnik cen produkcji budowlano-montażowej (WCPBM) – do zastosowania w projektach </w:t>
            </w:r>
            <w:r w:rsidRPr="00597BF5">
              <w:rPr>
                <w:rFonts w:cs="Calibri"/>
                <w:sz w:val="20"/>
                <w:szCs w:val="20"/>
              </w:rPr>
              <w:lastRenderedPageBreak/>
              <w:t>infrastrukturalnych. Zakłada się, że w ujęciu skumulowanym jego wartość ważona dla lat 2007-2013 wynosi 100,36%, a dla lat 2014-2023 – 110,71%.</w:t>
            </w:r>
          </w:p>
          <w:p w:rsidR="00AF4783" w:rsidRPr="00597BF5" w:rsidRDefault="00AF4783" w:rsidP="00597BF5">
            <w:pPr>
              <w:numPr>
                <w:ilvl w:val="0"/>
                <w:numId w:val="17"/>
              </w:numPr>
              <w:ind w:left="284" w:hanging="284"/>
              <w:jc w:val="both"/>
              <w:rPr>
                <w:rFonts w:cs="Calibri"/>
                <w:sz w:val="20"/>
                <w:szCs w:val="20"/>
              </w:rPr>
            </w:pPr>
            <w:r w:rsidRPr="00597BF5">
              <w:rPr>
                <w:rFonts w:cs="Calibri"/>
                <w:sz w:val="20"/>
                <w:szCs w:val="20"/>
              </w:rPr>
              <w:t xml:space="preserve">Zgodnie z </w:t>
            </w:r>
            <w:r w:rsidR="00A725E0">
              <w:rPr>
                <w:rFonts w:cs="Calibri"/>
                <w:sz w:val="20"/>
                <w:szCs w:val="20"/>
              </w:rPr>
              <w:t>U</w:t>
            </w:r>
            <w:r w:rsidRPr="00597BF5">
              <w:rPr>
                <w:rFonts w:cs="Calibri"/>
                <w:sz w:val="20"/>
                <w:szCs w:val="20"/>
              </w:rPr>
              <w:t xml:space="preserve">mową </w:t>
            </w:r>
            <w:r w:rsidR="00A725E0">
              <w:rPr>
                <w:rFonts w:cs="Calibri"/>
                <w:sz w:val="20"/>
                <w:szCs w:val="20"/>
              </w:rPr>
              <w:t>P</w:t>
            </w:r>
            <w:r w:rsidRPr="00597BF5">
              <w:rPr>
                <w:rFonts w:cs="Calibri"/>
                <w:sz w:val="20"/>
                <w:szCs w:val="20"/>
              </w:rPr>
              <w:t xml:space="preserve">artnerstwa i w celu regularnego monitorowania postępów we wdrażaniu, </w:t>
            </w:r>
            <w:r w:rsidRPr="00597BF5">
              <w:rPr>
                <w:rFonts w:cs="Calibri"/>
                <w:b/>
                <w:sz w:val="20"/>
                <w:szCs w:val="20"/>
              </w:rPr>
              <w:t xml:space="preserve">po zaakceptowaniu przez KE programu operacyjnego IZ określi na potrzeby krajowe dodatkowe cele roczne na lata 2016, 2017, 2019-2022 </w:t>
            </w:r>
            <w:r w:rsidRPr="00597BF5">
              <w:rPr>
                <w:rFonts w:cs="Calibri"/>
                <w:sz w:val="20"/>
                <w:szCs w:val="20"/>
              </w:rPr>
              <w:t>w odniesieniu do wszystkich</w:t>
            </w:r>
            <w:r w:rsidR="00E6561C">
              <w:rPr>
                <w:rFonts w:cs="Calibri"/>
                <w:sz w:val="20"/>
                <w:szCs w:val="20"/>
              </w:rPr>
              <w:t xml:space="preserve"> wskaźników</w:t>
            </w:r>
            <w:r w:rsidRPr="00597BF5">
              <w:rPr>
                <w:rFonts w:cs="Calibri"/>
                <w:sz w:val="20"/>
                <w:szCs w:val="20"/>
              </w:rPr>
              <w:t xml:space="preserve"> ram wykonania. </w:t>
            </w:r>
          </w:p>
          <w:p w:rsidR="00AF4783" w:rsidRPr="00597BF5" w:rsidRDefault="00AF4783" w:rsidP="00597BF5">
            <w:pPr>
              <w:numPr>
                <w:ilvl w:val="0"/>
                <w:numId w:val="17"/>
              </w:numPr>
              <w:ind w:left="284" w:hanging="284"/>
              <w:jc w:val="both"/>
              <w:rPr>
                <w:rFonts w:cs="Calibri"/>
                <w:sz w:val="20"/>
                <w:szCs w:val="20"/>
              </w:rPr>
            </w:pPr>
            <w:r w:rsidRPr="00597BF5">
              <w:rPr>
                <w:sz w:val="20"/>
                <w:szCs w:val="20"/>
              </w:rPr>
              <w:t xml:space="preserve">Narzędziem wspomagającym realizację założeń ram wykonania będzie również proces ewaluacji programów operacyjnych. </w:t>
            </w:r>
            <w:r w:rsidRPr="00597BF5">
              <w:rPr>
                <w:rFonts w:cs="Calibri"/>
                <w:sz w:val="20"/>
                <w:szCs w:val="20"/>
              </w:rPr>
              <w:t xml:space="preserve">Zgodnie z „Wytycznymi w zakresie systemu ewaluacji polityki spójności oraz realizacji ewaluacji programów operacyjnych perspektywy 2014-2020” plany ewaluacji programów operacyjnych zawierać będą badania obligatoryjne dla wszystkich programów operacyjnych, których wyniki służyć będą bezpośrednio realizacji ram wykonania, w szczególności: „Ewaluacja systemu wdrażania PO” (badanie dotyczyć będzie m.in. kryteriów wyboru projektów i ich wpływu na realizację założeń ram wykonania) oraz „Ewaluacja </w:t>
            </w:r>
            <w:proofErr w:type="spellStart"/>
            <w:r w:rsidRPr="00597BF5">
              <w:rPr>
                <w:rFonts w:cs="Calibri"/>
                <w:sz w:val="20"/>
                <w:szCs w:val="20"/>
              </w:rPr>
              <w:t>mid</w:t>
            </w:r>
            <w:proofErr w:type="spellEnd"/>
            <w:r w:rsidRPr="00597BF5">
              <w:rPr>
                <w:rFonts w:cs="Calibri"/>
                <w:sz w:val="20"/>
                <w:szCs w:val="20"/>
              </w:rPr>
              <w:t xml:space="preserve">-term dot. postępu rzeczowego danego PO dla potrzeb przeglądu śródokresowego, w tym realizacji zapisów ram i rezerwy wykonania” (badania </w:t>
            </w:r>
            <w:proofErr w:type="spellStart"/>
            <w:r w:rsidRPr="00597BF5">
              <w:rPr>
                <w:rFonts w:cs="Calibri"/>
                <w:sz w:val="20"/>
                <w:szCs w:val="20"/>
              </w:rPr>
              <w:t>mid</w:t>
            </w:r>
            <w:proofErr w:type="spellEnd"/>
            <w:r w:rsidRPr="00597BF5">
              <w:rPr>
                <w:rFonts w:cs="Calibri"/>
                <w:sz w:val="20"/>
                <w:szCs w:val="20"/>
              </w:rPr>
              <w:t xml:space="preserve">-term uzupełnione zostaną metaanalizą/przeglądem systematycznym dokonanym przez KJE). Wymienione badania realizowane będą przez Jednostki Ewaluacyjne funkcjonujące w ramach programów operacyjnych na podstawie odpowiednich wytycznych przygotowanych przez Krajową Jednostkę Ewaluacji. Ponadto, wytyczne MIR w zakresie sprawozdawczości i monitorowania zapewniają regularne zbieranie danych dotyczących postępów w osiąganiu celów pośrednich i końcowych ram wykonania. </w:t>
            </w:r>
          </w:p>
          <w:p w:rsidR="00AF4783" w:rsidRPr="00597BF5" w:rsidRDefault="00AF4783" w:rsidP="00597BF5">
            <w:pPr>
              <w:numPr>
                <w:ilvl w:val="0"/>
                <w:numId w:val="17"/>
              </w:numPr>
              <w:ind w:left="284" w:hanging="284"/>
              <w:jc w:val="both"/>
              <w:rPr>
                <w:rFonts w:cs="Calibri"/>
                <w:sz w:val="20"/>
                <w:szCs w:val="20"/>
              </w:rPr>
            </w:pPr>
            <w:r w:rsidRPr="00597BF5">
              <w:rPr>
                <w:rFonts w:cs="Calibri"/>
                <w:sz w:val="20"/>
                <w:szCs w:val="20"/>
              </w:rPr>
              <w:t xml:space="preserve"> W umowie partnerstwa przedstawiono zasady horyzontalne dotyczące alokowania rezerwy wykonania podczas programowania i jej realokacji w wyniku przeglądu wyników w 2019 r.</w:t>
            </w:r>
          </w:p>
          <w:p w:rsidR="00BA3203" w:rsidRDefault="00BA3203" w:rsidP="00BB5A64">
            <w:pPr>
              <w:spacing w:before="120" w:after="120" w:line="240" w:lineRule="auto"/>
              <w:contextualSpacing/>
              <w:jc w:val="both"/>
              <w:rPr>
                <w:rFonts w:cs="Calibri"/>
                <w:bCs/>
                <w:sz w:val="20"/>
                <w:szCs w:val="20"/>
                <w:lang w:eastAsia="pl-PL"/>
              </w:rPr>
            </w:pPr>
            <w:r w:rsidRPr="00AC4CBE">
              <w:rPr>
                <w:rFonts w:cs="Calibri"/>
                <w:bCs/>
                <w:sz w:val="20"/>
                <w:szCs w:val="20"/>
                <w:lang w:eastAsia="pl-PL"/>
              </w:rPr>
              <w:t>Mając na uwadze rozwiązania obowiąz</w:t>
            </w:r>
            <w:r w:rsidR="00682B7C">
              <w:rPr>
                <w:rFonts w:cs="Calibri"/>
                <w:bCs/>
                <w:sz w:val="20"/>
                <w:szCs w:val="20"/>
                <w:lang w:eastAsia="pl-PL"/>
              </w:rPr>
              <w:t>ujące w perspektywie finansowej</w:t>
            </w:r>
            <w:r w:rsidRPr="00AC4CBE">
              <w:rPr>
                <w:rFonts w:cs="Calibri"/>
                <w:bCs/>
                <w:sz w:val="20"/>
                <w:szCs w:val="20"/>
                <w:lang w:eastAsia="pl-PL"/>
              </w:rPr>
              <w:t xml:space="preserve"> na lata 2014 – 2020, biorąc szczególnie pod uwagę system rezerwy wykonania, kierując się w tej kwestii obowiązującym porządkiem prawnym, wynikającym przede wszystkim z rozporządzenia UE 1303/2013 (art. 15 ust. 1 lit. b) </w:t>
            </w:r>
            <w:proofErr w:type="spellStart"/>
            <w:r w:rsidRPr="00AC4CBE">
              <w:rPr>
                <w:rFonts w:cs="Calibri"/>
                <w:bCs/>
                <w:sz w:val="20"/>
                <w:szCs w:val="20"/>
                <w:lang w:eastAsia="pl-PL"/>
              </w:rPr>
              <w:t>ppkt</w:t>
            </w:r>
            <w:proofErr w:type="spellEnd"/>
            <w:r w:rsidRPr="00AC4CBE">
              <w:rPr>
                <w:rFonts w:cs="Calibri"/>
                <w:bCs/>
                <w:sz w:val="20"/>
                <w:szCs w:val="20"/>
                <w:lang w:eastAsia="pl-PL"/>
              </w:rPr>
              <w:t xml:space="preserve"> (iv); </w:t>
            </w:r>
            <w:r w:rsidRPr="00AC4CBE">
              <w:rPr>
                <w:rFonts w:cs="Calibri"/>
                <w:bCs/>
                <w:sz w:val="20"/>
                <w:szCs w:val="20"/>
                <w:lang w:eastAsia="pl-PL"/>
              </w:rPr>
              <w:br/>
              <w:t>art.</w:t>
            </w:r>
            <w:r w:rsidR="00E77229">
              <w:rPr>
                <w:rFonts w:cs="Calibri"/>
                <w:bCs/>
                <w:sz w:val="20"/>
                <w:szCs w:val="20"/>
                <w:lang w:eastAsia="pl-PL"/>
              </w:rPr>
              <w:t xml:space="preserve"> </w:t>
            </w:r>
            <w:r w:rsidRPr="00AC4CBE">
              <w:rPr>
                <w:rFonts w:cs="Calibri"/>
                <w:bCs/>
                <w:sz w:val="20"/>
                <w:szCs w:val="20"/>
                <w:lang w:eastAsia="pl-PL"/>
              </w:rPr>
              <w:t xml:space="preserve">20-22 oraz Załącznik nr 2), jak również transpozycję wskazanych zasad do wewnętrznego porządku prawnego za pośrednictwem Umowy Partnerstwa (Podrozdział 2.4), Instytucja Zarządzająca Programem Operacyjnym Polska Cyfrowa (IZ POPC) stworzyła spójny mechanizm monitoringu ram wykonania. </w:t>
            </w:r>
          </w:p>
          <w:p w:rsidR="006B1599" w:rsidRPr="00BB5A64" w:rsidRDefault="006B1599" w:rsidP="00BB5A64">
            <w:pPr>
              <w:autoSpaceDE w:val="0"/>
              <w:autoSpaceDN w:val="0"/>
              <w:adjustRightInd w:val="0"/>
              <w:spacing w:after="120" w:line="240" w:lineRule="auto"/>
              <w:jc w:val="both"/>
              <w:rPr>
                <w:rFonts w:cs="Calibri"/>
                <w:bCs/>
                <w:sz w:val="20"/>
                <w:szCs w:val="20"/>
                <w:lang w:eastAsia="pl-PL"/>
              </w:rPr>
            </w:pPr>
            <w:r w:rsidRPr="00BB5A64">
              <w:rPr>
                <w:rFonts w:cs="Calibri"/>
                <w:bCs/>
                <w:sz w:val="20"/>
                <w:szCs w:val="20"/>
                <w:lang w:eastAsia="pl-PL"/>
              </w:rPr>
              <w:t xml:space="preserve">Ramy wykonania są zgodne z zasadami funkcjonowania mechanizmu ram wykonania określonymi </w:t>
            </w:r>
            <w:r w:rsidRPr="00BB5A64">
              <w:rPr>
                <w:rFonts w:cs="Calibri"/>
                <w:bCs/>
                <w:sz w:val="20"/>
                <w:szCs w:val="20"/>
                <w:lang w:eastAsia="pl-PL"/>
              </w:rPr>
              <w:br/>
              <w:t xml:space="preserve">w rozporządzeniach oraz w Umowie Partnerstwa. Prezentowane pośrednie i docelowe wartości dla wskaźników wybranych do ram wykonania zostały ustalone w oparciu o metodologię szacowania, która została zaprezentowana KE w trakcie negocjacji. Instytucja Zarządzająca przedstawiła KE wszystkie uwarunkowania, jakie miały i mogą mieć wpływ na realizację przyjętych wartości. Udostępniona metodologia zawiera opis przyjętych założeń i głównych czynników, jakie miały wpływ na przyjętą (wyszacowaną) wartość docelową danego wskaźnika. Podstawowe kryteria szacowania wartości wskaźników bazują na danych historycznych, którymi dysponowała IZ, uwzględniając dotychczasowe doświadczenia we wdrażaniu podobnych przedsięwzięć. Kryteria te, to: średnia wartość projektu, typ beneficjenta, rodzaj instrumentu / formy wsparcia, poziom danych (kraj/region), wielkość próby, tryb wyboru projektu, tempo realizacji wskaźników, poziom osiągnięcia założonych wskaźników. Dodatkowo, poza danymi historycznymi i kosztami jednostkowymi, szacując wartości docelowe zostały wzięte pod uwagę również dostępne opracowania dotyczące obecnej sytuacji oraz trendów </w:t>
            </w:r>
            <w:proofErr w:type="spellStart"/>
            <w:r w:rsidRPr="00BB5A64">
              <w:rPr>
                <w:rFonts w:cs="Calibri"/>
                <w:bCs/>
                <w:sz w:val="20"/>
                <w:szCs w:val="20"/>
                <w:lang w:eastAsia="pl-PL"/>
              </w:rPr>
              <w:t>społeczno</w:t>
            </w:r>
            <w:proofErr w:type="spellEnd"/>
            <w:r w:rsidRPr="00BB5A64">
              <w:rPr>
                <w:rFonts w:cs="Calibri"/>
                <w:bCs/>
                <w:sz w:val="20"/>
                <w:szCs w:val="20"/>
                <w:lang w:eastAsia="pl-PL"/>
              </w:rPr>
              <w:t xml:space="preserve"> - gospodarczych, tj.: analizy i prognozy branżowe, grup docelowych, oczekiwania społeczne, popyt na dane wsparcie czy nasycenie wsparciem na rynku. Instytucja Zarządzająca będzie na bieżąco monitorować realizację wartości dla ram wykonania i na bieżąco reagować na zjawiska, które mogą mieć wpływ na realizację założonych wartości, jak również dokonywać odpowiednich korekt po przeprowadzeniu stosownych analiz.</w:t>
            </w:r>
          </w:p>
          <w:p w:rsidR="00BA3203" w:rsidRPr="00AC4CBE" w:rsidRDefault="00BA3203" w:rsidP="00BB5A64">
            <w:pPr>
              <w:spacing w:after="120" w:line="240" w:lineRule="auto"/>
              <w:contextualSpacing/>
              <w:jc w:val="both"/>
              <w:rPr>
                <w:rFonts w:cs="Calibri"/>
                <w:bCs/>
                <w:sz w:val="20"/>
                <w:szCs w:val="20"/>
                <w:lang w:eastAsia="pl-PL"/>
              </w:rPr>
            </w:pPr>
            <w:r w:rsidRPr="00AC4CBE">
              <w:rPr>
                <w:rFonts w:cs="Calibri"/>
                <w:bCs/>
                <w:sz w:val="20"/>
                <w:szCs w:val="20"/>
                <w:lang w:eastAsia="pl-PL"/>
              </w:rPr>
              <w:t xml:space="preserve">Ramy wykonania dla każdego priorytetu, co do zasady składają się z dwóch zasadniczych elementów: celów pośrednich i celów końcowych. Powinny być one ze sobą powiązane, tzn. cel pośredni musi wskazywać na jakim etapie wdrażania znajduje się dany priorytet (na koniec 2018 roku), aby móc osiągnąć cel końcowy do 2023 roku. Ponadto w POPC zostaną wykorzystane wszystkie dostępne narzędzia, przy pomocy których możliwe będzie zweryfikowanie celów zawartych w ramach wykonania, tj. wskaźniki finansowe, wskaźniki produktu oraz kluczowe etapy wdrażania. </w:t>
            </w:r>
          </w:p>
          <w:p w:rsidR="00BA3203" w:rsidRPr="00AC4CBE" w:rsidRDefault="00BA3203" w:rsidP="00BB5A64">
            <w:pPr>
              <w:spacing w:before="120" w:after="120" w:line="240" w:lineRule="auto"/>
              <w:contextualSpacing/>
              <w:jc w:val="both"/>
              <w:rPr>
                <w:rFonts w:cs="Calibri"/>
                <w:bCs/>
                <w:sz w:val="20"/>
                <w:szCs w:val="20"/>
                <w:lang w:eastAsia="pl-PL"/>
              </w:rPr>
            </w:pPr>
            <w:r w:rsidRPr="00AC4CBE">
              <w:rPr>
                <w:rFonts w:cs="Calibri"/>
                <w:bCs/>
                <w:sz w:val="20"/>
                <w:szCs w:val="20"/>
                <w:lang w:eastAsia="pl-PL"/>
              </w:rPr>
              <w:t xml:space="preserve">Dla zapewnienia właściwego funkcjonowania systemów monitorowania i ewaluacji efektów Polityki Spójności </w:t>
            </w:r>
            <w:r w:rsidRPr="00AC4CBE">
              <w:rPr>
                <w:rFonts w:cs="Calibri"/>
                <w:bCs/>
                <w:sz w:val="20"/>
                <w:szCs w:val="20"/>
                <w:lang w:eastAsia="pl-PL"/>
              </w:rPr>
              <w:lastRenderedPageBreak/>
              <w:t>IZ POPC, jako jednostka koordynującą wdrażanie 2 celu tematycznego</w:t>
            </w:r>
            <w:r w:rsidRPr="00AC4CBE">
              <w:rPr>
                <w:rFonts w:cs="Calibri"/>
                <w:bCs/>
                <w:i/>
                <w:sz w:val="20"/>
                <w:szCs w:val="20"/>
                <w:lang w:eastAsia="pl-PL"/>
              </w:rPr>
              <w:t xml:space="preserve">, </w:t>
            </w:r>
            <w:r w:rsidRPr="00AC4CBE">
              <w:rPr>
                <w:rFonts w:cs="Calibri"/>
                <w:bCs/>
                <w:sz w:val="20"/>
                <w:szCs w:val="20"/>
                <w:lang w:eastAsia="pl-PL"/>
              </w:rPr>
              <w:t>opracowała</w:t>
            </w:r>
            <w:r w:rsidRPr="00AC4CBE">
              <w:rPr>
                <w:rFonts w:cs="Calibri"/>
                <w:bCs/>
                <w:i/>
                <w:sz w:val="20"/>
                <w:szCs w:val="20"/>
                <w:lang w:eastAsia="pl-PL"/>
              </w:rPr>
              <w:t xml:space="preserve"> </w:t>
            </w:r>
            <w:r w:rsidRPr="00AC4CBE">
              <w:rPr>
                <w:rFonts w:cs="Calibri"/>
                <w:bCs/>
                <w:sz w:val="20"/>
                <w:szCs w:val="20"/>
                <w:lang w:eastAsia="pl-PL"/>
              </w:rPr>
              <w:t xml:space="preserve">w ramach </w:t>
            </w:r>
            <w:proofErr w:type="spellStart"/>
            <w:r w:rsidRPr="00AC4CBE">
              <w:rPr>
                <w:rFonts w:cs="Calibri"/>
                <w:bCs/>
                <w:sz w:val="20"/>
                <w:szCs w:val="20"/>
                <w:lang w:eastAsia="pl-PL"/>
              </w:rPr>
              <w:t>MI</w:t>
            </w:r>
            <w:r w:rsidR="00F908CA">
              <w:rPr>
                <w:rFonts w:cs="Calibri"/>
                <w:bCs/>
                <w:sz w:val="20"/>
                <w:szCs w:val="20"/>
                <w:lang w:eastAsia="pl-PL"/>
              </w:rPr>
              <w:t>i</w:t>
            </w:r>
            <w:r w:rsidRPr="00AC4CBE">
              <w:rPr>
                <w:rFonts w:cs="Calibri"/>
                <w:bCs/>
                <w:sz w:val="20"/>
                <w:szCs w:val="20"/>
                <w:lang w:eastAsia="pl-PL"/>
              </w:rPr>
              <w:t>R</w:t>
            </w:r>
            <w:proofErr w:type="spellEnd"/>
            <w:r w:rsidRPr="00AC4CBE">
              <w:rPr>
                <w:rFonts w:cs="Calibri"/>
                <w:bCs/>
                <w:sz w:val="20"/>
                <w:szCs w:val="20"/>
                <w:lang w:eastAsia="pl-PL"/>
              </w:rPr>
              <w:t xml:space="preserve"> obowiązkowy, wspólny dla wszystkich programów operacyjnych (PO), katalog wskaźników produktu (w części dotyczącej technologii </w:t>
            </w:r>
            <w:proofErr w:type="spellStart"/>
            <w:r w:rsidRPr="00AC4CBE">
              <w:rPr>
                <w:rFonts w:cs="Calibri"/>
                <w:bCs/>
                <w:sz w:val="20"/>
                <w:szCs w:val="20"/>
                <w:lang w:eastAsia="pl-PL"/>
              </w:rPr>
              <w:t>informacyjno</w:t>
            </w:r>
            <w:proofErr w:type="spellEnd"/>
            <w:r w:rsidRPr="00AC4CBE">
              <w:rPr>
                <w:rFonts w:cs="Calibri"/>
                <w:bCs/>
                <w:sz w:val="20"/>
                <w:szCs w:val="20"/>
                <w:lang w:eastAsia="pl-PL"/>
              </w:rPr>
              <w:t xml:space="preserve"> – komunikacyjnych) pn. </w:t>
            </w:r>
            <w:r w:rsidRPr="001C11A6">
              <w:rPr>
                <w:rFonts w:cs="Calibri"/>
                <w:bCs/>
                <w:i/>
                <w:sz w:val="20"/>
                <w:szCs w:val="20"/>
                <w:lang w:eastAsia="pl-PL"/>
              </w:rPr>
              <w:t>Wspólna Lista Wskaźników Kluczowych</w:t>
            </w:r>
            <w:r w:rsidRPr="00AC4CBE">
              <w:rPr>
                <w:rFonts w:cs="Calibri"/>
                <w:bCs/>
                <w:sz w:val="20"/>
                <w:szCs w:val="20"/>
                <w:lang w:eastAsia="pl-PL"/>
              </w:rPr>
              <w:t xml:space="preserve"> (WLWK), która zasilana będzie danymi z poziomu projektów. IZ POPC dokonując wyboru wskaźników do ram wykonania, pod kątem prezentacji postępu rzeczowego Programu, wykorzystała wskaźniki produktu zaczerpnięte z WLWK. </w:t>
            </w:r>
          </w:p>
          <w:p w:rsidR="00BA3203" w:rsidRDefault="00BA3203" w:rsidP="00BB5A64">
            <w:pPr>
              <w:spacing w:after="120" w:line="240" w:lineRule="auto"/>
              <w:contextualSpacing/>
              <w:jc w:val="both"/>
              <w:rPr>
                <w:rFonts w:cs="Calibri"/>
                <w:bCs/>
                <w:color w:val="FF0000"/>
                <w:sz w:val="20"/>
                <w:szCs w:val="20"/>
                <w:lang w:eastAsia="pl-PL"/>
              </w:rPr>
            </w:pPr>
            <w:r w:rsidRPr="00AC4CBE">
              <w:rPr>
                <w:rFonts w:cs="Calibri"/>
                <w:bCs/>
                <w:sz w:val="20"/>
                <w:szCs w:val="20"/>
                <w:lang w:eastAsia="pl-PL"/>
              </w:rPr>
              <w:t xml:space="preserve">IZ POPC postanowiła, aby do celów pośrednich mierzonych za pomocą wskaźników postępu rzeczowego, </w:t>
            </w:r>
            <w:r w:rsidRPr="00AC4CBE">
              <w:rPr>
                <w:rFonts w:cs="Calibri"/>
                <w:bCs/>
                <w:sz w:val="20"/>
                <w:szCs w:val="20"/>
                <w:lang w:eastAsia="pl-PL"/>
              </w:rPr>
              <w:br/>
              <w:t>w przypadku 1</w:t>
            </w:r>
            <w:r w:rsidR="00EB37B8">
              <w:rPr>
                <w:rFonts w:cs="Calibri"/>
                <w:bCs/>
                <w:sz w:val="20"/>
                <w:szCs w:val="20"/>
                <w:lang w:eastAsia="pl-PL"/>
              </w:rPr>
              <w:t>,</w:t>
            </w:r>
            <w:r w:rsidRPr="00AC4CBE">
              <w:rPr>
                <w:rFonts w:cs="Calibri"/>
                <w:bCs/>
                <w:sz w:val="20"/>
                <w:szCs w:val="20"/>
                <w:lang w:eastAsia="pl-PL"/>
              </w:rPr>
              <w:t xml:space="preserve"> 2</w:t>
            </w:r>
            <w:r w:rsidR="00EB37B8">
              <w:rPr>
                <w:rFonts w:cs="Calibri"/>
                <w:bCs/>
                <w:sz w:val="20"/>
                <w:szCs w:val="20"/>
                <w:lang w:eastAsia="pl-PL"/>
              </w:rPr>
              <w:t xml:space="preserve"> oraz 3</w:t>
            </w:r>
            <w:r w:rsidRPr="00AC4CBE">
              <w:rPr>
                <w:rFonts w:cs="Calibri"/>
                <w:bCs/>
                <w:sz w:val="20"/>
                <w:szCs w:val="20"/>
                <w:lang w:eastAsia="pl-PL"/>
              </w:rPr>
              <w:t xml:space="preserve"> osi priorytetowej wykorzystać </w:t>
            </w:r>
            <w:r w:rsidR="00164C9A">
              <w:rPr>
                <w:rFonts w:cs="Calibri"/>
                <w:bCs/>
                <w:sz w:val="20"/>
                <w:szCs w:val="20"/>
                <w:lang w:eastAsia="pl-PL"/>
              </w:rPr>
              <w:t>KEW</w:t>
            </w:r>
            <w:r w:rsidRPr="00AC4CBE">
              <w:rPr>
                <w:rFonts w:cs="Calibri"/>
                <w:bCs/>
                <w:sz w:val="20"/>
                <w:szCs w:val="20"/>
                <w:lang w:eastAsia="pl-PL"/>
              </w:rPr>
              <w:t xml:space="preserve">. Decyzja wynika ze </w:t>
            </w:r>
            <w:r w:rsidR="007A4575">
              <w:rPr>
                <w:rFonts w:cs="Calibri"/>
                <w:bCs/>
                <w:sz w:val="20"/>
                <w:szCs w:val="20"/>
                <w:lang w:eastAsia="pl-PL"/>
              </w:rPr>
              <w:t>złożonego</w:t>
            </w:r>
            <w:r w:rsidR="007A4575" w:rsidRPr="00AC4CBE">
              <w:rPr>
                <w:rFonts w:cs="Calibri"/>
                <w:bCs/>
                <w:sz w:val="20"/>
                <w:szCs w:val="20"/>
                <w:lang w:eastAsia="pl-PL"/>
              </w:rPr>
              <w:t xml:space="preserve"> </w:t>
            </w:r>
            <w:r w:rsidRPr="00AC4CBE">
              <w:rPr>
                <w:rFonts w:cs="Calibri"/>
                <w:bCs/>
                <w:sz w:val="20"/>
                <w:szCs w:val="20"/>
                <w:lang w:eastAsia="pl-PL"/>
              </w:rPr>
              <w:t>charakteru wspieranych inwestycji. Zarówno budowa szerokopasmowej infrastruktury, jak również tworzenie e-usług publicznych, wymagać mogą stosunkowo długiego czasu realizacji inwestycji.</w:t>
            </w:r>
            <w:r w:rsidR="00EB37B8">
              <w:rPr>
                <w:rFonts w:cs="Calibri"/>
                <w:bCs/>
                <w:sz w:val="20"/>
                <w:szCs w:val="20"/>
                <w:lang w:eastAsia="pl-PL"/>
              </w:rPr>
              <w:t xml:space="preserve"> Podobnie, w przypadku szkoleń planowanych w ramach osi priorytetowej 3, gdzie ze względu na planowaną długość ich realizacji również nie zostaną zakończone do końca 2018 r.</w:t>
            </w:r>
            <w:r w:rsidR="00FC6457">
              <w:rPr>
                <w:rFonts w:cs="Calibri"/>
                <w:bCs/>
                <w:sz w:val="20"/>
                <w:szCs w:val="20"/>
                <w:lang w:eastAsia="pl-PL"/>
              </w:rPr>
              <w:t xml:space="preserve"> </w:t>
            </w:r>
            <w:r w:rsidRPr="00AC4CBE">
              <w:rPr>
                <w:rFonts w:cs="Calibri"/>
                <w:bCs/>
                <w:sz w:val="20"/>
                <w:szCs w:val="20"/>
                <w:lang w:eastAsia="pl-PL"/>
              </w:rPr>
              <w:t>Należy w związku z tym mieć na uwadze sytuację, w której poziom osiągniętych wskaźników produktu</w:t>
            </w:r>
            <w:r w:rsidR="007A4575">
              <w:rPr>
                <w:rFonts w:cs="Calibri"/>
                <w:bCs/>
                <w:sz w:val="20"/>
                <w:szCs w:val="20"/>
                <w:lang w:eastAsia="pl-PL"/>
              </w:rPr>
              <w:t xml:space="preserve"> w zakończonych projektach</w:t>
            </w:r>
            <w:r w:rsidRPr="00AC4CBE">
              <w:rPr>
                <w:rFonts w:cs="Calibri"/>
                <w:bCs/>
                <w:sz w:val="20"/>
                <w:szCs w:val="20"/>
                <w:lang w:eastAsia="pl-PL"/>
              </w:rPr>
              <w:t xml:space="preserve"> w 2018 roku, będzie </w:t>
            </w:r>
            <w:r w:rsidR="00EB37B8">
              <w:rPr>
                <w:rFonts w:cs="Calibri"/>
                <w:bCs/>
                <w:sz w:val="20"/>
                <w:szCs w:val="20"/>
                <w:lang w:eastAsia="pl-PL"/>
              </w:rPr>
              <w:t>równy zero</w:t>
            </w:r>
            <w:r w:rsidRPr="00AC4CBE">
              <w:rPr>
                <w:rFonts w:cs="Calibri"/>
                <w:bCs/>
                <w:sz w:val="20"/>
                <w:szCs w:val="20"/>
                <w:lang w:eastAsia="pl-PL"/>
              </w:rPr>
              <w:t xml:space="preserve">. Zdecydowano zatem, aby dla </w:t>
            </w:r>
            <w:r w:rsidR="00C9282E">
              <w:rPr>
                <w:rFonts w:cs="Calibri"/>
                <w:bCs/>
                <w:sz w:val="20"/>
                <w:szCs w:val="20"/>
                <w:lang w:eastAsia="pl-PL"/>
              </w:rPr>
              <w:t>wskazanych wyżej</w:t>
            </w:r>
            <w:r w:rsidR="00C9282E" w:rsidRPr="00AC4CBE">
              <w:rPr>
                <w:rFonts w:cs="Calibri"/>
                <w:bCs/>
                <w:sz w:val="20"/>
                <w:szCs w:val="20"/>
                <w:lang w:eastAsia="pl-PL"/>
              </w:rPr>
              <w:t xml:space="preserve"> </w:t>
            </w:r>
            <w:r w:rsidRPr="00AC4CBE">
              <w:rPr>
                <w:rFonts w:cs="Calibri"/>
                <w:bCs/>
                <w:sz w:val="20"/>
                <w:szCs w:val="20"/>
                <w:lang w:eastAsia="pl-PL"/>
              </w:rPr>
              <w:t>osi priorytetowych przyjąć kluczowe etapy wdrażania, mierzące poziom kontraktacji wyodrębnionych obszarów wsparcia POPC. Niemniej</w:t>
            </w:r>
            <w:r w:rsidR="00C9282E">
              <w:rPr>
                <w:rFonts w:cs="Calibri"/>
                <w:bCs/>
                <w:sz w:val="20"/>
                <w:szCs w:val="20"/>
                <w:lang w:eastAsia="pl-PL"/>
              </w:rPr>
              <w:t>,</w:t>
            </w:r>
            <w:r w:rsidRPr="00AC4CBE">
              <w:rPr>
                <w:rFonts w:cs="Calibri"/>
                <w:bCs/>
                <w:sz w:val="20"/>
                <w:szCs w:val="20"/>
                <w:lang w:eastAsia="pl-PL"/>
              </w:rPr>
              <w:t xml:space="preserve"> cele końcowe weryfikowane będą przy wykorzystaniu wskaźników produktu, pochodzących </w:t>
            </w:r>
            <w:r w:rsidRPr="00B45FAB">
              <w:rPr>
                <w:rFonts w:cs="Calibri"/>
                <w:bCs/>
                <w:sz w:val="20"/>
                <w:szCs w:val="20"/>
                <w:lang w:eastAsia="pl-PL"/>
              </w:rPr>
              <w:t xml:space="preserve">z </w:t>
            </w:r>
            <w:r w:rsidRPr="006754AA">
              <w:rPr>
                <w:rFonts w:cs="Calibri"/>
                <w:bCs/>
                <w:sz w:val="20"/>
                <w:szCs w:val="20"/>
                <w:lang w:eastAsia="pl-PL"/>
              </w:rPr>
              <w:t>zakończonych proj</w:t>
            </w:r>
            <w:r w:rsidR="001C11A6" w:rsidRPr="00ED7353">
              <w:rPr>
                <w:rFonts w:cs="Calibri"/>
                <w:bCs/>
                <w:sz w:val="20"/>
                <w:szCs w:val="20"/>
                <w:lang w:eastAsia="pl-PL"/>
              </w:rPr>
              <w:t>ektów</w:t>
            </w:r>
            <w:r w:rsidR="001C11A6" w:rsidRPr="00396913">
              <w:rPr>
                <w:rFonts w:cs="Calibri"/>
                <w:bCs/>
                <w:sz w:val="20"/>
                <w:szCs w:val="20"/>
                <w:lang w:eastAsia="pl-PL"/>
              </w:rPr>
              <w:t>.</w:t>
            </w:r>
            <w:r w:rsidR="001C11A6">
              <w:rPr>
                <w:rFonts w:cs="Calibri"/>
                <w:bCs/>
                <w:sz w:val="20"/>
                <w:szCs w:val="20"/>
                <w:lang w:eastAsia="pl-PL"/>
              </w:rPr>
              <w:t xml:space="preserve"> </w:t>
            </w:r>
          </w:p>
          <w:p w:rsidR="00AC3726" w:rsidRDefault="00BA3203" w:rsidP="00BB5A64">
            <w:pPr>
              <w:spacing w:after="120" w:line="240" w:lineRule="auto"/>
              <w:contextualSpacing/>
              <w:jc w:val="both"/>
              <w:rPr>
                <w:rFonts w:cs="Calibri"/>
                <w:bCs/>
                <w:sz w:val="20"/>
                <w:szCs w:val="20"/>
                <w:lang w:eastAsia="pl-PL"/>
              </w:rPr>
            </w:pPr>
            <w:r w:rsidRPr="00AC4CBE">
              <w:rPr>
                <w:rFonts w:cs="Calibri"/>
                <w:bCs/>
                <w:sz w:val="20"/>
                <w:szCs w:val="20"/>
                <w:lang w:eastAsia="pl-PL"/>
              </w:rPr>
              <w:t xml:space="preserve">Szacowanie wskaźnika finansowego: </w:t>
            </w:r>
            <w:r w:rsidRPr="00AC4CBE">
              <w:rPr>
                <w:rFonts w:cs="Calibri"/>
                <w:bCs/>
                <w:i/>
                <w:sz w:val="20"/>
                <w:szCs w:val="20"/>
                <w:lang w:eastAsia="pl-PL"/>
              </w:rPr>
              <w:t>całkowita kwota certyfikowanych wydatków kwalifikowalnych</w:t>
            </w:r>
            <w:r w:rsidRPr="00AC4CBE">
              <w:rPr>
                <w:rFonts w:cs="Calibri"/>
                <w:bCs/>
                <w:sz w:val="20"/>
                <w:szCs w:val="20"/>
                <w:lang w:eastAsia="pl-PL"/>
              </w:rPr>
              <w:t xml:space="preserve"> oparta została na danych historycznych dotyczących tempa wydatkowania środków w projektach realizowanych </w:t>
            </w:r>
            <w:r w:rsidR="0016604C">
              <w:rPr>
                <w:rFonts w:cs="Calibri"/>
                <w:bCs/>
                <w:sz w:val="20"/>
                <w:szCs w:val="20"/>
                <w:lang w:eastAsia="pl-PL"/>
              </w:rPr>
              <w:br/>
            </w:r>
            <w:r w:rsidRPr="00AC4CBE">
              <w:rPr>
                <w:rFonts w:cs="Calibri"/>
                <w:bCs/>
                <w:sz w:val="20"/>
                <w:szCs w:val="20"/>
                <w:lang w:eastAsia="pl-PL"/>
              </w:rPr>
              <w:t>w perspektywie 2007-2013, o zbliżonym zakresie interwencji do planowanego w POPC. Jednocześnie, ze względu na trudności jakie występowały podczas realizacji projektów z zakresu społeczeństwa informacyjnego, w wyniku których, tempo wydatkowania środków w tym obszarze było na poziomie znacznie poniżej średniej dla programów 2007-2013, wartości zostały skorygowane i zakładają szybsze tempo wydatkowania w POPC</w:t>
            </w:r>
            <w:r w:rsidR="007A4575">
              <w:rPr>
                <w:rFonts w:cs="Calibri"/>
                <w:bCs/>
                <w:sz w:val="20"/>
                <w:szCs w:val="20"/>
                <w:lang w:eastAsia="pl-PL"/>
              </w:rPr>
              <w:t>, co będzie możliwe poprzez wyciągnięcie wniosków z perspektywy 2007-2013</w:t>
            </w:r>
            <w:r w:rsidRPr="00AC4CBE">
              <w:rPr>
                <w:rFonts w:cs="Calibri"/>
                <w:bCs/>
                <w:sz w:val="20"/>
                <w:szCs w:val="20"/>
                <w:lang w:eastAsia="pl-PL"/>
              </w:rPr>
              <w:t>,</w:t>
            </w:r>
            <w:r w:rsidR="007A4575">
              <w:rPr>
                <w:rFonts w:cs="Calibri"/>
                <w:bCs/>
                <w:sz w:val="20"/>
                <w:szCs w:val="20"/>
                <w:lang w:eastAsia="pl-PL"/>
              </w:rPr>
              <w:t xml:space="preserve"> a</w:t>
            </w:r>
            <w:r w:rsidRPr="00AC4CBE">
              <w:rPr>
                <w:rFonts w:cs="Calibri"/>
                <w:bCs/>
                <w:sz w:val="20"/>
                <w:szCs w:val="20"/>
                <w:lang w:eastAsia="pl-PL"/>
              </w:rPr>
              <w:t xml:space="preserve"> co jest niezbędne ze względu na wywiązanie się z zasady N+3 dla Programu. </w:t>
            </w:r>
          </w:p>
          <w:p w:rsidR="00C62A9A" w:rsidRPr="00FB7764" w:rsidRDefault="001A71C7" w:rsidP="00BB5A64">
            <w:pPr>
              <w:spacing w:before="120" w:after="120" w:line="240" w:lineRule="auto"/>
              <w:contextualSpacing/>
              <w:jc w:val="both"/>
              <w:rPr>
                <w:rFonts w:cs="Calibri"/>
                <w:bCs/>
                <w:sz w:val="20"/>
                <w:szCs w:val="20"/>
                <w:lang w:eastAsia="pl-PL"/>
              </w:rPr>
            </w:pPr>
            <w:r w:rsidRPr="00227FE0">
              <w:rPr>
                <w:rFonts w:cs="Calibri"/>
                <w:bCs/>
                <w:sz w:val="20"/>
                <w:szCs w:val="20"/>
                <w:lang w:eastAsia="pl-PL"/>
              </w:rPr>
              <w:t xml:space="preserve">Do przeliczania wartości finansowych na PLN i szacowania wartości wskaźników rzeczowych wykorzystano ustalony horyzontalnie kurs </w:t>
            </w:r>
            <w:r w:rsidR="00C62A9A">
              <w:rPr>
                <w:rFonts w:cs="Calibri"/>
                <w:bCs/>
                <w:sz w:val="20"/>
                <w:szCs w:val="20"/>
                <w:lang w:eastAsia="pl-PL"/>
              </w:rPr>
              <w:t>PLN/EUR</w:t>
            </w:r>
            <w:r w:rsidR="00F47DF8">
              <w:rPr>
                <w:rFonts w:cs="Calibri"/>
                <w:bCs/>
                <w:sz w:val="20"/>
                <w:szCs w:val="20"/>
                <w:lang w:eastAsia="pl-PL"/>
              </w:rPr>
              <w:t xml:space="preserve"> (</w:t>
            </w:r>
            <w:r w:rsidR="00F47DF8" w:rsidRPr="00227FE0">
              <w:rPr>
                <w:rFonts w:cs="Calibri"/>
                <w:bCs/>
                <w:sz w:val="20"/>
                <w:szCs w:val="20"/>
                <w:lang w:eastAsia="pl-PL"/>
              </w:rPr>
              <w:t>bazując na estymacjach Ministerstwa Finansów</w:t>
            </w:r>
            <w:r w:rsidR="00F47DF8">
              <w:rPr>
                <w:rFonts w:cs="Calibri"/>
                <w:bCs/>
                <w:sz w:val="20"/>
                <w:szCs w:val="20"/>
                <w:lang w:eastAsia="pl-PL"/>
              </w:rPr>
              <w:t>)</w:t>
            </w:r>
            <w:r w:rsidRPr="00227FE0">
              <w:rPr>
                <w:rFonts w:cs="Calibri"/>
                <w:bCs/>
                <w:sz w:val="20"/>
                <w:szCs w:val="20"/>
                <w:lang w:eastAsia="pl-PL"/>
              </w:rPr>
              <w:t xml:space="preserve"> oraz uwzględniono wskaźnik cen.</w:t>
            </w:r>
            <w:r w:rsidR="00C62A9A">
              <w:rPr>
                <w:rFonts w:cs="Calibri"/>
                <w:bCs/>
                <w:sz w:val="20"/>
                <w:szCs w:val="20"/>
                <w:lang w:eastAsia="pl-PL"/>
              </w:rPr>
              <w:t xml:space="preserve"> </w:t>
            </w:r>
            <w:r w:rsidRPr="00227FE0">
              <w:rPr>
                <w:rFonts w:cs="Calibri"/>
                <w:bCs/>
                <w:sz w:val="20"/>
                <w:szCs w:val="20"/>
                <w:lang w:eastAsia="pl-PL"/>
              </w:rPr>
              <w:t xml:space="preserve">Indeksy cen i kurs walutowy określono jako średnie ważone, co pozwoli otrzymać wartości reprezentatywne dla całego okresu programowania. Udziały każdego roku w średniej ważonej </w:t>
            </w:r>
            <w:r w:rsidR="00C62A9A" w:rsidRPr="00227FE0">
              <w:rPr>
                <w:rFonts w:cs="Calibri"/>
                <w:bCs/>
                <w:sz w:val="20"/>
                <w:szCs w:val="20"/>
                <w:lang w:eastAsia="pl-PL"/>
              </w:rPr>
              <w:t>s</w:t>
            </w:r>
            <w:r w:rsidRPr="00227FE0">
              <w:rPr>
                <w:rFonts w:cs="Calibri"/>
                <w:bCs/>
                <w:sz w:val="20"/>
                <w:szCs w:val="20"/>
                <w:lang w:eastAsia="pl-PL"/>
              </w:rPr>
              <w:t>ą proporcjonalne do odsetka wydatków w ramach całej perspektywy finansowej poniesionych w danym roku.</w:t>
            </w:r>
          </w:p>
        </w:tc>
      </w:tr>
      <w:tr w:rsidR="00AC3726" w:rsidRPr="009812F7" w:rsidTr="00597BF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PrEx>
        <w:tc>
          <w:tcPr>
            <w:tcW w:w="9212" w:type="dxa"/>
            <w:shd w:val="clear" w:color="auto" w:fill="auto"/>
          </w:tcPr>
          <w:p w:rsidR="00AC3726" w:rsidRPr="009812F7" w:rsidRDefault="00AC3726" w:rsidP="00BB5A64">
            <w:pPr>
              <w:keepNext/>
              <w:shd w:val="clear" w:color="auto" w:fill="1F497D"/>
              <w:spacing w:before="240" w:after="60"/>
              <w:outlineLvl w:val="0"/>
              <w:rPr>
                <w:b/>
                <w:bCs/>
                <w:noProof/>
              </w:rPr>
            </w:pPr>
            <w:bookmarkStart w:id="5" w:name="_Toc401825898"/>
            <w:bookmarkStart w:id="6" w:name="_Toc380192819"/>
            <w:r w:rsidRPr="0067073E">
              <w:rPr>
                <w:rFonts w:ascii="Cambria" w:eastAsia="Times New Roman" w:hAnsi="Cambria"/>
                <w:b/>
                <w:bCs/>
                <w:noProof/>
                <w:color w:val="FFFFFF"/>
              </w:rPr>
              <w:lastRenderedPageBreak/>
              <w:t xml:space="preserve">II. Część szczegółowa dotycząca poszczególnych osi </w:t>
            </w:r>
            <w:r w:rsidR="0041783B">
              <w:rPr>
                <w:rFonts w:ascii="Cambria" w:eastAsia="Times New Roman" w:hAnsi="Cambria"/>
                <w:b/>
                <w:bCs/>
                <w:noProof/>
                <w:color w:val="FFFFFF"/>
              </w:rPr>
              <w:t xml:space="preserve">priorytetowych </w:t>
            </w:r>
            <w:r w:rsidRPr="0067073E">
              <w:rPr>
                <w:rFonts w:ascii="Cambria" w:eastAsia="Times New Roman" w:hAnsi="Cambria"/>
                <w:b/>
                <w:bCs/>
                <w:noProof/>
                <w:color w:val="FFFFFF"/>
              </w:rPr>
              <w:t>i ustanowionych dla nich ram wykonania</w:t>
            </w:r>
            <w:bookmarkEnd w:id="5"/>
          </w:p>
        </w:tc>
      </w:tr>
      <w:tr w:rsidR="003D74A6" w:rsidRPr="00E558AC" w:rsidTr="00597BF5">
        <w:tc>
          <w:tcPr>
            <w:tcW w:w="9212" w:type="dxa"/>
            <w:shd w:val="clear" w:color="auto" w:fill="auto"/>
          </w:tcPr>
          <w:p w:rsidR="003D74A6" w:rsidRPr="00E558AC" w:rsidRDefault="003D74A6" w:rsidP="00E558AC">
            <w:pPr>
              <w:spacing w:before="120" w:after="120"/>
              <w:jc w:val="both"/>
              <w:rPr>
                <w:rFonts w:cs="Calibri"/>
                <w:i/>
              </w:rPr>
            </w:pPr>
            <w:r w:rsidRPr="00BA3203">
              <w:rPr>
                <w:rFonts w:cs="Calibri"/>
                <w:i/>
              </w:rPr>
              <w:t xml:space="preserve">Poniżej należy przedstawić ramy wykonania dla każdej osi z osobna i przedstawić – zgodnie </w:t>
            </w:r>
            <w:r w:rsidR="006D67CA" w:rsidRPr="00BA3203">
              <w:rPr>
                <w:rFonts w:cs="Calibri"/>
                <w:i/>
              </w:rPr>
              <w:t>z </w:t>
            </w:r>
            <w:r w:rsidRPr="00BA3203">
              <w:rPr>
                <w:rFonts w:cs="Calibri"/>
                <w:i/>
              </w:rPr>
              <w:t>punktami a-e – opis przyjętych założeń i głównych czynników, jakie miały wpływ na wybór wskaźnika oraz na jego zakładaną wartość docelową</w:t>
            </w:r>
            <w:bookmarkStart w:id="7" w:name="_Ref395182094"/>
            <w:r w:rsidRPr="00BA3203">
              <w:rPr>
                <w:b/>
                <w:i/>
                <w:vertAlign w:val="superscript"/>
              </w:rPr>
              <w:footnoteReference w:id="1"/>
            </w:r>
            <w:bookmarkEnd w:id="7"/>
            <w:r w:rsidRPr="00BA3203">
              <w:rPr>
                <w:rFonts w:cs="Calibri"/>
                <w:i/>
              </w:rPr>
              <w:t>. To do nich odnosi się propozycja wkładu gotowego, zaproponowanego przez MIR w Komentarzu do szablonu programu operacyjnego (</w:t>
            </w:r>
            <w:r w:rsidR="006D67CA" w:rsidRPr="00BA3203">
              <w:rPr>
                <w:rFonts w:cs="Calibri"/>
                <w:i/>
              </w:rPr>
              <w:t>z dn. 15 </w:t>
            </w:r>
            <w:r w:rsidRPr="00BA3203">
              <w:rPr>
                <w:rFonts w:cs="Calibri"/>
                <w:i/>
              </w:rPr>
              <w:t>lutego 2014 r.) w części 2.A.8 Ramy wykonania, w polu „Dodatkowe informacje jakościowe na temat ustanowienia ram wykonania”. Poniższe informacje powinny być spójne z tymi, które zostały zawarte w dokumencie towarzyszącym programowi operacyjnemu „Metodologia szacowania wartości docelowych dla wskaźników z poziomu osi priorytet</w:t>
            </w:r>
            <w:r w:rsidR="006D67CA" w:rsidRPr="00BA3203">
              <w:rPr>
                <w:rFonts w:cs="Calibri"/>
                <w:i/>
              </w:rPr>
              <w:t>owej, wybranych do realizacji w </w:t>
            </w:r>
            <w:r w:rsidRPr="00BA3203">
              <w:rPr>
                <w:rFonts w:cs="Calibri"/>
                <w:i/>
              </w:rPr>
              <w:t>Programie Operacyjnym 2014-2020”, ale w niniejszym wzorze n</w:t>
            </w:r>
            <w:r w:rsidR="006D67CA" w:rsidRPr="00BA3203">
              <w:rPr>
                <w:rFonts w:cs="Calibri"/>
                <w:i/>
              </w:rPr>
              <w:t>ależy ograniczyć się jedynie do </w:t>
            </w:r>
            <w:r w:rsidRPr="00BA3203">
              <w:rPr>
                <w:rFonts w:cs="Calibri"/>
                <w:i/>
              </w:rPr>
              <w:t>informacji dotyczących wskaźników zastosowanych w ramach wykonania (w</w:t>
            </w:r>
            <w:r w:rsidR="006D67CA" w:rsidRPr="00BA3203">
              <w:rPr>
                <w:rFonts w:cs="Calibri"/>
                <w:i/>
              </w:rPr>
              <w:t xml:space="preserve"> odróżnieniu od </w:t>
            </w:r>
            <w:r w:rsidRPr="00BA3203">
              <w:rPr>
                <w:rFonts w:cs="Calibri"/>
                <w:i/>
              </w:rPr>
              <w:t>„Metodologii”, która dotyczy wszystkich wskaźników zastosowanych w programie).</w:t>
            </w:r>
          </w:p>
        </w:tc>
      </w:tr>
    </w:tbl>
    <w:p w:rsidR="00276080" w:rsidRDefault="00276080" w:rsidP="00276080">
      <w:pPr>
        <w:spacing w:before="120" w:after="120"/>
        <w:rPr>
          <w:b/>
          <w:bCs/>
          <w:noProof/>
        </w:rPr>
        <w:sectPr w:rsidR="00276080" w:rsidSect="00BB5A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C75F22" w:rsidRDefault="00C75F22" w:rsidP="00BB5A64">
      <w:pPr>
        <w:pStyle w:val="Nagwek2"/>
        <w:rPr>
          <w:noProof/>
        </w:rPr>
      </w:pPr>
      <w:bookmarkStart w:id="8" w:name="_Toc401825899"/>
      <w:r w:rsidRPr="00BB5A64">
        <w:lastRenderedPageBreak/>
        <w:t xml:space="preserve">Oś priorytetowa </w:t>
      </w:r>
      <w:r w:rsidR="0067073E">
        <w:t>I.</w:t>
      </w:r>
      <w:r w:rsidRPr="00BB5A64">
        <w:t xml:space="preserve"> Powszechny dostęp do szybkiego </w:t>
      </w:r>
      <w:r w:rsidR="00F27E29" w:rsidRPr="00BB5A64">
        <w:t>I</w:t>
      </w:r>
      <w:r w:rsidRPr="00BB5A64">
        <w:t>nternetu</w:t>
      </w:r>
      <w:bookmarkEnd w:id="8"/>
    </w:p>
    <w:p w:rsidR="0075352C" w:rsidRDefault="0075352C" w:rsidP="00BB5A64">
      <w:pPr>
        <w:pStyle w:val="Legenda"/>
      </w:pPr>
      <w:bookmarkStart w:id="9" w:name="_Toc401826757"/>
      <w:r>
        <w:t xml:space="preserve">Tabela </w:t>
      </w:r>
      <w:r w:rsidR="00050B55">
        <w:fldChar w:fldCharType="begin"/>
      </w:r>
      <w:r w:rsidR="00050B55">
        <w:instrText xml:space="preserve"> SEQ Tabela \* ARABIC </w:instrText>
      </w:r>
      <w:r w:rsidR="00050B55">
        <w:fldChar w:fldCharType="separate"/>
      </w:r>
      <w:r w:rsidR="002570DE">
        <w:rPr>
          <w:noProof/>
        </w:rPr>
        <w:t>4</w:t>
      </w:r>
      <w:r w:rsidR="00050B55">
        <w:rPr>
          <w:noProof/>
        </w:rPr>
        <w:fldChar w:fldCharType="end"/>
      </w:r>
      <w:r w:rsidR="00500075">
        <w:t xml:space="preserve"> </w:t>
      </w:r>
      <w:r>
        <w:t>- Wskaźniki</w:t>
      </w:r>
      <w:r>
        <w:rPr>
          <w:noProof/>
        </w:rPr>
        <w:t xml:space="preserve"> wprowadzone do ram wykonania w </w:t>
      </w:r>
      <w:r w:rsidRPr="00BB5A64">
        <w:t>ramach</w:t>
      </w:r>
      <w:r>
        <w:rPr>
          <w:noProof/>
        </w:rPr>
        <w:t xml:space="preserve"> </w:t>
      </w:r>
      <w:r w:rsidR="00317FC4">
        <w:rPr>
          <w:noProof/>
        </w:rPr>
        <w:t xml:space="preserve">osi </w:t>
      </w:r>
      <w:r>
        <w:rPr>
          <w:noProof/>
        </w:rPr>
        <w:t>priorytetowej I</w:t>
      </w:r>
      <w:bookmarkEnd w:id="9"/>
    </w:p>
    <w:tbl>
      <w:tblPr>
        <w:tblW w:w="544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21"/>
        <w:gridCol w:w="709"/>
        <w:gridCol w:w="990"/>
        <w:gridCol w:w="1133"/>
        <w:gridCol w:w="709"/>
        <w:gridCol w:w="993"/>
        <w:gridCol w:w="282"/>
        <w:gridCol w:w="285"/>
        <w:gridCol w:w="1275"/>
        <w:gridCol w:w="282"/>
        <w:gridCol w:w="285"/>
        <w:gridCol w:w="1278"/>
        <w:gridCol w:w="1275"/>
        <w:gridCol w:w="2287"/>
      </w:tblGrid>
      <w:tr w:rsidR="0043575D" w:rsidRPr="00DE15D1" w:rsidTr="00977ACF">
        <w:trPr>
          <w:trHeight w:val="850"/>
        </w:trPr>
        <w:tc>
          <w:tcPr>
            <w:tcW w:w="184"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Oś priorytetowa</w:t>
            </w:r>
          </w:p>
        </w:tc>
        <w:tc>
          <w:tcPr>
            <w:tcW w:w="1009"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Typ wskaźnika (KEW, wskaźnik  finansowy, produktu, lub jeśli właściwe – wskaźnik rezultatu)</w:t>
            </w:r>
          </w:p>
        </w:tc>
        <w:tc>
          <w:tcPr>
            <w:tcW w:w="229"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Nr identyfikacyjny.</w:t>
            </w:r>
          </w:p>
        </w:tc>
        <w:tc>
          <w:tcPr>
            <w:tcW w:w="320"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Wskaźnik lub KEW</w:t>
            </w:r>
          </w:p>
        </w:tc>
        <w:tc>
          <w:tcPr>
            <w:tcW w:w="366"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Jednostka pomiaru (w stosownych przypadkach)</w:t>
            </w:r>
          </w:p>
        </w:tc>
        <w:tc>
          <w:tcPr>
            <w:tcW w:w="229"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Fundusz</w:t>
            </w:r>
          </w:p>
        </w:tc>
        <w:tc>
          <w:tcPr>
            <w:tcW w:w="321"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Kategoria regionu</w:t>
            </w:r>
          </w:p>
        </w:tc>
        <w:tc>
          <w:tcPr>
            <w:tcW w:w="595" w:type="pct"/>
            <w:gridSpan w:val="3"/>
            <w:shd w:val="clear" w:color="auto" w:fill="8DB3E2"/>
          </w:tcPr>
          <w:p w:rsidR="0043575D" w:rsidRPr="00DE15D1" w:rsidRDefault="0043575D" w:rsidP="00977ACF">
            <w:pPr>
              <w:tabs>
                <w:tab w:val="left" w:pos="1188"/>
              </w:tabs>
              <w:spacing w:before="60" w:after="60" w:line="240" w:lineRule="auto"/>
              <w:rPr>
                <w:rFonts w:cs="Calibri"/>
                <w:sz w:val="18"/>
                <w:szCs w:val="18"/>
              </w:rPr>
            </w:pPr>
            <w:r w:rsidRPr="00DE15D1">
              <w:rPr>
                <w:rFonts w:cs="Calibri"/>
                <w:sz w:val="18"/>
                <w:szCs w:val="18"/>
              </w:rPr>
              <w:t>Cel pośredni (2018)</w:t>
            </w:r>
          </w:p>
        </w:tc>
        <w:tc>
          <w:tcPr>
            <w:tcW w:w="596" w:type="pct"/>
            <w:gridSpan w:val="3"/>
            <w:shd w:val="clear" w:color="auto" w:fill="8DB3E2"/>
          </w:tcPr>
          <w:p w:rsidR="0043575D" w:rsidRPr="00DE15D1" w:rsidRDefault="0043575D" w:rsidP="00977ACF">
            <w:pPr>
              <w:tabs>
                <w:tab w:val="left" w:pos="1188"/>
              </w:tabs>
              <w:spacing w:before="60" w:after="60" w:line="240" w:lineRule="auto"/>
              <w:rPr>
                <w:rFonts w:cs="Calibri"/>
                <w:sz w:val="18"/>
                <w:szCs w:val="18"/>
              </w:rPr>
            </w:pPr>
            <w:r w:rsidRPr="00DE15D1">
              <w:rPr>
                <w:rFonts w:cs="Calibri"/>
                <w:sz w:val="18"/>
                <w:szCs w:val="18"/>
              </w:rPr>
              <w:t>Cel końcowy (2023)</w:t>
            </w:r>
            <w:r w:rsidRPr="00DE15D1">
              <w:rPr>
                <w:rFonts w:cs="Calibri"/>
                <w:b/>
                <w:sz w:val="18"/>
                <w:szCs w:val="18"/>
                <w:vertAlign w:val="superscript"/>
              </w:rPr>
              <w:footnoteReference w:id="2"/>
            </w:r>
          </w:p>
        </w:tc>
        <w:tc>
          <w:tcPr>
            <w:tcW w:w="412"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Źródło danych</w:t>
            </w:r>
          </w:p>
        </w:tc>
        <w:tc>
          <w:tcPr>
            <w:tcW w:w="739" w:type="pct"/>
            <w:vMerge w:val="restart"/>
            <w:shd w:val="clear" w:color="auto" w:fill="8DB3E2"/>
          </w:tcPr>
          <w:p w:rsidR="0043575D" w:rsidRPr="00DE15D1" w:rsidRDefault="0043575D" w:rsidP="00977ACF">
            <w:pPr>
              <w:spacing w:before="60" w:after="60" w:line="240" w:lineRule="auto"/>
              <w:rPr>
                <w:rFonts w:cs="Calibri"/>
                <w:sz w:val="18"/>
                <w:szCs w:val="18"/>
              </w:rPr>
            </w:pPr>
            <w:r w:rsidRPr="00DE15D1">
              <w:rPr>
                <w:rFonts w:cs="Calibri"/>
                <w:sz w:val="18"/>
                <w:szCs w:val="18"/>
              </w:rPr>
              <w:t>Wyjaśnienie adekwatności wskaźnika (w stosownych przypadkach)</w:t>
            </w:r>
            <w:r w:rsidRPr="00DE15D1">
              <w:rPr>
                <w:rFonts w:cs="Calibri"/>
                <w:b/>
                <w:sz w:val="18"/>
                <w:szCs w:val="18"/>
                <w:vertAlign w:val="superscript"/>
              </w:rPr>
              <w:footnoteReference w:id="3"/>
            </w:r>
          </w:p>
        </w:tc>
      </w:tr>
      <w:tr w:rsidR="0043575D" w:rsidRPr="00DE15D1" w:rsidTr="00977ACF">
        <w:trPr>
          <w:trHeight w:val="405"/>
        </w:trPr>
        <w:tc>
          <w:tcPr>
            <w:tcW w:w="184" w:type="pct"/>
            <w:vMerge/>
          </w:tcPr>
          <w:p w:rsidR="0043575D" w:rsidRPr="00DE15D1" w:rsidRDefault="0043575D" w:rsidP="00977ACF">
            <w:pPr>
              <w:spacing w:before="60" w:after="60"/>
              <w:rPr>
                <w:rFonts w:cs="Calibri"/>
                <w:sz w:val="18"/>
                <w:szCs w:val="18"/>
              </w:rPr>
            </w:pPr>
          </w:p>
        </w:tc>
        <w:tc>
          <w:tcPr>
            <w:tcW w:w="1009" w:type="pct"/>
            <w:vMerge/>
          </w:tcPr>
          <w:p w:rsidR="0043575D" w:rsidRPr="00DE15D1" w:rsidRDefault="0043575D" w:rsidP="00977ACF">
            <w:pPr>
              <w:spacing w:before="60" w:after="60"/>
              <w:rPr>
                <w:rFonts w:cs="Calibri"/>
                <w:sz w:val="18"/>
                <w:szCs w:val="18"/>
              </w:rPr>
            </w:pPr>
          </w:p>
        </w:tc>
        <w:tc>
          <w:tcPr>
            <w:tcW w:w="229" w:type="pct"/>
            <w:vMerge/>
          </w:tcPr>
          <w:p w:rsidR="0043575D" w:rsidRPr="00DE15D1" w:rsidRDefault="0043575D" w:rsidP="00977ACF">
            <w:pPr>
              <w:spacing w:before="60" w:after="60"/>
              <w:rPr>
                <w:rFonts w:cs="Calibri"/>
                <w:sz w:val="18"/>
                <w:szCs w:val="18"/>
              </w:rPr>
            </w:pPr>
          </w:p>
        </w:tc>
        <w:tc>
          <w:tcPr>
            <w:tcW w:w="320" w:type="pct"/>
            <w:vMerge/>
          </w:tcPr>
          <w:p w:rsidR="0043575D" w:rsidRPr="00DE15D1" w:rsidRDefault="0043575D" w:rsidP="00977ACF">
            <w:pPr>
              <w:spacing w:before="60" w:after="60"/>
              <w:rPr>
                <w:rFonts w:cs="Calibri"/>
                <w:sz w:val="18"/>
                <w:szCs w:val="18"/>
              </w:rPr>
            </w:pPr>
          </w:p>
        </w:tc>
        <w:tc>
          <w:tcPr>
            <w:tcW w:w="366" w:type="pct"/>
            <w:vMerge/>
          </w:tcPr>
          <w:p w:rsidR="0043575D" w:rsidRPr="00DE15D1" w:rsidRDefault="0043575D" w:rsidP="00977ACF">
            <w:pPr>
              <w:spacing w:before="60" w:after="60"/>
              <w:rPr>
                <w:rFonts w:cs="Calibri"/>
                <w:sz w:val="18"/>
                <w:szCs w:val="18"/>
              </w:rPr>
            </w:pPr>
          </w:p>
        </w:tc>
        <w:tc>
          <w:tcPr>
            <w:tcW w:w="229" w:type="pct"/>
            <w:vMerge/>
          </w:tcPr>
          <w:p w:rsidR="0043575D" w:rsidRPr="00DE15D1" w:rsidRDefault="0043575D" w:rsidP="00977ACF">
            <w:pPr>
              <w:spacing w:before="60" w:after="60"/>
              <w:rPr>
                <w:rFonts w:cs="Calibri"/>
                <w:sz w:val="18"/>
                <w:szCs w:val="18"/>
              </w:rPr>
            </w:pPr>
          </w:p>
        </w:tc>
        <w:tc>
          <w:tcPr>
            <w:tcW w:w="321" w:type="pct"/>
            <w:vMerge/>
          </w:tcPr>
          <w:p w:rsidR="0043575D" w:rsidRPr="00DE15D1" w:rsidRDefault="0043575D" w:rsidP="00977ACF">
            <w:pPr>
              <w:spacing w:before="60" w:after="60"/>
              <w:rPr>
                <w:rFonts w:cs="Calibri"/>
                <w:sz w:val="18"/>
                <w:szCs w:val="18"/>
              </w:rPr>
            </w:pPr>
          </w:p>
        </w:tc>
        <w:tc>
          <w:tcPr>
            <w:tcW w:w="91" w:type="pct"/>
            <w:shd w:val="clear" w:color="auto" w:fill="D9D9D9"/>
          </w:tcPr>
          <w:p w:rsidR="0043575D" w:rsidRPr="00DE15D1" w:rsidRDefault="0043575D" w:rsidP="00977ACF">
            <w:pPr>
              <w:tabs>
                <w:tab w:val="left" w:pos="1188"/>
              </w:tabs>
              <w:spacing w:before="60" w:after="60"/>
              <w:jc w:val="center"/>
              <w:rPr>
                <w:rFonts w:cs="Calibri"/>
                <w:sz w:val="18"/>
                <w:szCs w:val="18"/>
              </w:rPr>
            </w:pPr>
          </w:p>
        </w:tc>
        <w:tc>
          <w:tcPr>
            <w:tcW w:w="92" w:type="pct"/>
            <w:shd w:val="clear" w:color="auto" w:fill="D9D9D9"/>
          </w:tcPr>
          <w:p w:rsidR="0043575D" w:rsidRPr="00DE15D1" w:rsidRDefault="0043575D" w:rsidP="00977ACF">
            <w:pPr>
              <w:tabs>
                <w:tab w:val="left" w:pos="1188"/>
              </w:tabs>
              <w:spacing w:before="60" w:after="60"/>
              <w:jc w:val="center"/>
              <w:rPr>
                <w:rFonts w:cs="Calibri"/>
                <w:sz w:val="18"/>
                <w:szCs w:val="18"/>
              </w:rPr>
            </w:pPr>
          </w:p>
        </w:tc>
        <w:tc>
          <w:tcPr>
            <w:tcW w:w="412" w:type="pct"/>
          </w:tcPr>
          <w:p w:rsidR="0043575D" w:rsidRPr="00DE15D1" w:rsidRDefault="0043575D" w:rsidP="00977ACF">
            <w:pPr>
              <w:tabs>
                <w:tab w:val="left" w:pos="1188"/>
              </w:tabs>
              <w:spacing w:before="60" w:after="60"/>
              <w:jc w:val="center"/>
              <w:rPr>
                <w:rFonts w:cs="Calibri"/>
                <w:sz w:val="18"/>
                <w:szCs w:val="18"/>
              </w:rPr>
            </w:pPr>
          </w:p>
        </w:tc>
        <w:tc>
          <w:tcPr>
            <w:tcW w:w="91" w:type="pct"/>
            <w:shd w:val="clear" w:color="auto" w:fill="D9D9D9"/>
          </w:tcPr>
          <w:p w:rsidR="0043575D" w:rsidRPr="00DE15D1" w:rsidRDefault="0043575D" w:rsidP="00977ACF">
            <w:pPr>
              <w:tabs>
                <w:tab w:val="left" w:pos="1188"/>
              </w:tabs>
              <w:spacing w:before="60" w:after="60"/>
              <w:jc w:val="center"/>
              <w:rPr>
                <w:rFonts w:cs="Calibri"/>
                <w:sz w:val="18"/>
                <w:szCs w:val="18"/>
              </w:rPr>
            </w:pPr>
          </w:p>
        </w:tc>
        <w:tc>
          <w:tcPr>
            <w:tcW w:w="92" w:type="pct"/>
            <w:shd w:val="clear" w:color="auto" w:fill="D9D9D9"/>
          </w:tcPr>
          <w:p w:rsidR="0043575D" w:rsidRPr="00DE15D1" w:rsidRDefault="0043575D" w:rsidP="00977ACF">
            <w:pPr>
              <w:tabs>
                <w:tab w:val="left" w:pos="1188"/>
              </w:tabs>
              <w:spacing w:before="60" w:after="60"/>
              <w:jc w:val="center"/>
              <w:rPr>
                <w:rFonts w:cs="Calibri"/>
                <w:sz w:val="18"/>
                <w:szCs w:val="18"/>
              </w:rPr>
            </w:pPr>
          </w:p>
        </w:tc>
        <w:tc>
          <w:tcPr>
            <w:tcW w:w="413" w:type="pct"/>
          </w:tcPr>
          <w:p w:rsidR="0043575D" w:rsidRPr="00DE15D1" w:rsidRDefault="0043575D" w:rsidP="00977ACF">
            <w:pPr>
              <w:tabs>
                <w:tab w:val="left" w:pos="1188"/>
              </w:tabs>
              <w:spacing w:before="60" w:after="60"/>
              <w:jc w:val="center"/>
              <w:rPr>
                <w:rFonts w:cs="Calibri"/>
                <w:sz w:val="18"/>
                <w:szCs w:val="18"/>
              </w:rPr>
            </w:pPr>
          </w:p>
        </w:tc>
        <w:tc>
          <w:tcPr>
            <w:tcW w:w="412" w:type="pct"/>
            <w:vMerge/>
          </w:tcPr>
          <w:p w:rsidR="0043575D" w:rsidRPr="00DE15D1" w:rsidRDefault="0043575D" w:rsidP="00977ACF">
            <w:pPr>
              <w:spacing w:before="60" w:after="60"/>
              <w:rPr>
                <w:rFonts w:cs="Calibri"/>
                <w:sz w:val="18"/>
                <w:szCs w:val="18"/>
              </w:rPr>
            </w:pPr>
          </w:p>
        </w:tc>
        <w:tc>
          <w:tcPr>
            <w:tcW w:w="739" w:type="pct"/>
            <w:vMerge/>
          </w:tcPr>
          <w:p w:rsidR="0043575D" w:rsidRPr="00DE15D1" w:rsidRDefault="0043575D" w:rsidP="00977ACF">
            <w:pPr>
              <w:spacing w:before="60" w:after="60"/>
              <w:rPr>
                <w:rFonts w:cs="Calibri"/>
                <w:sz w:val="18"/>
                <w:szCs w:val="18"/>
              </w:rPr>
            </w:pPr>
          </w:p>
        </w:tc>
      </w:tr>
      <w:tr w:rsidR="00C44F2E" w:rsidRPr="00DE15D1" w:rsidTr="00977ACF">
        <w:trPr>
          <w:trHeight w:val="862"/>
        </w:trPr>
        <w:tc>
          <w:tcPr>
            <w:tcW w:w="184" w:type="pct"/>
          </w:tcPr>
          <w:p w:rsidR="00C44F2E" w:rsidRPr="00DE15D1" w:rsidRDefault="00C44F2E" w:rsidP="00977ACF">
            <w:pPr>
              <w:spacing w:before="60" w:after="60" w:line="240" w:lineRule="auto"/>
              <w:rPr>
                <w:rFonts w:cs="Calibri"/>
                <w:sz w:val="18"/>
                <w:szCs w:val="18"/>
              </w:rPr>
            </w:pPr>
            <w:r w:rsidRPr="00DE15D1">
              <w:rPr>
                <w:rFonts w:cs="Calibri"/>
                <w:sz w:val="18"/>
                <w:szCs w:val="18"/>
              </w:rPr>
              <w:t>1</w:t>
            </w:r>
          </w:p>
        </w:tc>
        <w:tc>
          <w:tcPr>
            <w:tcW w:w="1009" w:type="pct"/>
          </w:tcPr>
          <w:p w:rsidR="00C44F2E" w:rsidRPr="00CC3C1B" w:rsidRDefault="00C44F2E" w:rsidP="00977ACF">
            <w:pPr>
              <w:spacing w:before="60" w:after="60" w:line="240" w:lineRule="auto"/>
              <w:rPr>
                <w:rFonts w:cs="Calibri"/>
                <w:color w:val="000000"/>
                <w:sz w:val="18"/>
                <w:szCs w:val="18"/>
              </w:rPr>
            </w:pPr>
            <w:r w:rsidRPr="00CC3C1B">
              <w:rPr>
                <w:rFonts w:cs="Calibri"/>
                <w:bCs/>
                <w:i/>
                <w:color w:val="000000"/>
                <w:sz w:val="18"/>
                <w:szCs w:val="18"/>
                <w:lang w:eastAsia="pl-PL"/>
              </w:rPr>
              <w:t xml:space="preserve">Dodatkowe gospodarstwa domowe objęte szerokopasmowym dostępem do sieci o przepustowości co najmniej 30 </w:t>
            </w:r>
            <w:proofErr w:type="spellStart"/>
            <w:r w:rsidRPr="00CC3C1B">
              <w:rPr>
                <w:rFonts w:cs="Calibri"/>
                <w:bCs/>
                <w:i/>
                <w:color w:val="000000"/>
                <w:sz w:val="18"/>
                <w:szCs w:val="18"/>
                <w:lang w:eastAsia="pl-PL"/>
              </w:rPr>
              <w:t>Mb</w:t>
            </w:r>
            <w:proofErr w:type="spellEnd"/>
            <w:r w:rsidRPr="00CC3C1B">
              <w:rPr>
                <w:rFonts w:cs="Calibri"/>
                <w:bCs/>
                <w:i/>
                <w:color w:val="000000"/>
                <w:sz w:val="18"/>
                <w:szCs w:val="18"/>
                <w:lang w:eastAsia="pl-PL"/>
              </w:rPr>
              <w:t>/s</w:t>
            </w:r>
          </w:p>
        </w:tc>
        <w:tc>
          <w:tcPr>
            <w:tcW w:w="229" w:type="pct"/>
          </w:tcPr>
          <w:p w:rsidR="00C44F2E" w:rsidRPr="00DE15D1" w:rsidRDefault="00C44F2E" w:rsidP="00977ACF">
            <w:pPr>
              <w:spacing w:before="60" w:after="60" w:line="240" w:lineRule="auto"/>
              <w:rPr>
                <w:rFonts w:cs="Calibri"/>
                <w:sz w:val="18"/>
                <w:szCs w:val="18"/>
              </w:rPr>
            </w:pPr>
          </w:p>
        </w:tc>
        <w:tc>
          <w:tcPr>
            <w:tcW w:w="320" w:type="pct"/>
          </w:tcPr>
          <w:p w:rsidR="00C44F2E" w:rsidRPr="00DE15D1" w:rsidRDefault="00C44F2E" w:rsidP="00977ACF">
            <w:pPr>
              <w:spacing w:before="60" w:after="60" w:line="240" w:lineRule="auto"/>
              <w:rPr>
                <w:rFonts w:cs="Calibri"/>
                <w:sz w:val="18"/>
                <w:szCs w:val="18"/>
              </w:rPr>
            </w:pPr>
            <w:r w:rsidRPr="00DE15D1">
              <w:rPr>
                <w:rFonts w:cs="Calibri"/>
                <w:sz w:val="18"/>
                <w:szCs w:val="18"/>
              </w:rPr>
              <w:t>Wskaźnik</w:t>
            </w:r>
            <w:r>
              <w:rPr>
                <w:rFonts w:cs="Calibri"/>
                <w:sz w:val="18"/>
                <w:szCs w:val="18"/>
              </w:rPr>
              <w:t xml:space="preserve"> produktu</w:t>
            </w:r>
          </w:p>
        </w:tc>
        <w:tc>
          <w:tcPr>
            <w:tcW w:w="366" w:type="pct"/>
          </w:tcPr>
          <w:p w:rsidR="00C44F2E" w:rsidRPr="00DE15D1" w:rsidRDefault="00C44F2E" w:rsidP="00977ACF">
            <w:pPr>
              <w:spacing w:before="60" w:after="60" w:line="240" w:lineRule="auto"/>
              <w:rPr>
                <w:rFonts w:cs="Calibri"/>
                <w:sz w:val="18"/>
                <w:szCs w:val="18"/>
              </w:rPr>
            </w:pPr>
            <w:proofErr w:type="spellStart"/>
            <w:r w:rsidRPr="00DE15D1">
              <w:rPr>
                <w:rFonts w:cs="Calibri"/>
                <w:sz w:val="18"/>
                <w:szCs w:val="18"/>
              </w:rPr>
              <w:t>szt</w:t>
            </w:r>
            <w:proofErr w:type="spellEnd"/>
          </w:p>
        </w:tc>
        <w:tc>
          <w:tcPr>
            <w:tcW w:w="229" w:type="pct"/>
          </w:tcPr>
          <w:p w:rsidR="00C44F2E" w:rsidRPr="00DE15D1" w:rsidRDefault="00C44F2E" w:rsidP="00977ACF">
            <w:pPr>
              <w:spacing w:before="60" w:after="60" w:line="240" w:lineRule="auto"/>
              <w:rPr>
                <w:rFonts w:cs="Calibri"/>
                <w:sz w:val="18"/>
                <w:szCs w:val="18"/>
              </w:rPr>
            </w:pPr>
            <w:r w:rsidRPr="00DE15D1">
              <w:rPr>
                <w:rFonts w:cs="Calibri"/>
                <w:sz w:val="18"/>
                <w:szCs w:val="18"/>
              </w:rPr>
              <w:t>EFRR</w:t>
            </w:r>
          </w:p>
        </w:tc>
        <w:tc>
          <w:tcPr>
            <w:tcW w:w="321" w:type="pct"/>
          </w:tcPr>
          <w:p w:rsidR="00C44F2E" w:rsidRPr="00DE15D1" w:rsidRDefault="00C44F2E" w:rsidP="00977ACF">
            <w:pPr>
              <w:spacing w:before="60" w:after="60" w:line="240" w:lineRule="auto"/>
              <w:rPr>
                <w:rFonts w:cs="Calibri"/>
                <w:sz w:val="18"/>
                <w:szCs w:val="18"/>
              </w:rPr>
            </w:pPr>
            <w:r w:rsidRPr="00DE15D1">
              <w:rPr>
                <w:rFonts w:cs="Calibri"/>
                <w:sz w:val="18"/>
                <w:szCs w:val="18"/>
              </w:rPr>
              <w:t>Słabiej rozwinięty</w:t>
            </w:r>
          </w:p>
        </w:tc>
        <w:tc>
          <w:tcPr>
            <w:tcW w:w="91" w:type="pct"/>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92" w:type="pct"/>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412" w:type="pct"/>
          </w:tcPr>
          <w:p w:rsidR="00C44F2E" w:rsidRPr="00E300FF" w:rsidRDefault="00C44F2E" w:rsidP="00977ACF">
            <w:pPr>
              <w:tabs>
                <w:tab w:val="left" w:pos="1188"/>
              </w:tabs>
              <w:spacing w:before="60" w:after="60" w:line="240" w:lineRule="auto"/>
              <w:jc w:val="right"/>
              <w:rPr>
                <w:rFonts w:cs="Calibri"/>
                <w:sz w:val="18"/>
                <w:szCs w:val="18"/>
              </w:rPr>
            </w:pPr>
            <w:r w:rsidRPr="00E300FF">
              <w:rPr>
                <w:rFonts w:cs="Calibri"/>
                <w:sz w:val="18"/>
                <w:szCs w:val="18"/>
              </w:rPr>
              <w:t>0</w:t>
            </w:r>
          </w:p>
        </w:tc>
        <w:tc>
          <w:tcPr>
            <w:tcW w:w="91" w:type="pct"/>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92" w:type="pct"/>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413" w:type="pct"/>
          </w:tcPr>
          <w:p w:rsidR="002877C1" w:rsidRDefault="002877C1" w:rsidP="00B66413">
            <w:pPr>
              <w:tabs>
                <w:tab w:val="left" w:pos="1188"/>
              </w:tabs>
              <w:spacing w:before="60" w:after="60" w:line="240" w:lineRule="auto"/>
              <w:jc w:val="right"/>
              <w:rPr>
                <w:rFonts w:cs="Calibri"/>
                <w:bCs/>
                <w:color w:val="000000"/>
                <w:sz w:val="20"/>
                <w:szCs w:val="20"/>
                <w:lang w:eastAsia="pl-PL"/>
              </w:rPr>
            </w:pPr>
            <w:r>
              <w:rPr>
                <w:rFonts w:cs="Calibri"/>
                <w:bCs/>
                <w:color w:val="000000"/>
                <w:sz w:val="20"/>
                <w:szCs w:val="20"/>
                <w:lang w:eastAsia="pl-PL"/>
              </w:rPr>
              <w:t>1 651 660</w:t>
            </w:r>
          </w:p>
          <w:p w:rsidR="00C44F2E" w:rsidRPr="00E300FF" w:rsidRDefault="00C44F2E" w:rsidP="00B66413">
            <w:pPr>
              <w:tabs>
                <w:tab w:val="left" w:pos="1188"/>
              </w:tabs>
              <w:spacing w:before="60" w:after="60" w:line="240" w:lineRule="auto"/>
              <w:jc w:val="right"/>
              <w:rPr>
                <w:rFonts w:cs="Calibri"/>
                <w:sz w:val="18"/>
                <w:szCs w:val="18"/>
              </w:rPr>
            </w:pPr>
          </w:p>
        </w:tc>
        <w:tc>
          <w:tcPr>
            <w:tcW w:w="412" w:type="pct"/>
          </w:tcPr>
          <w:p w:rsidR="00C44F2E" w:rsidRPr="00DE15D1" w:rsidRDefault="00C44F2E" w:rsidP="00977ACF">
            <w:pPr>
              <w:spacing w:before="60" w:after="60" w:line="240" w:lineRule="auto"/>
              <w:rPr>
                <w:rFonts w:cs="Calibri"/>
                <w:sz w:val="18"/>
                <w:szCs w:val="18"/>
              </w:rPr>
            </w:pPr>
            <w:r w:rsidRPr="00DE15D1">
              <w:rPr>
                <w:rFonts w:cs="Calibri"/>
                <w:sz w:val="18"/>
                <w:szCs w:val="18"/>
              </w:rPr>
              <w:t>Informatyczny system monitorowania programu</w:t>
            </w:r>
          </w:p>
        </w:tc>
        <w:tc>
          <w:tcPr>
            <w:tcW w:w="739" w:type="pct"/>
          </w:tcPr>
          <w:p w:rsidR="00C44F2E" w:rsidRPr="00DE15D1" w:rsidRDefault="002877C1" w:rsidP="00051282">
            <w:pPr>
              <w:spacing w:before="60" w:after="60"/>
              <w:rPr>
                <w:rFonts w:cs="Calibri"/>
                <w:sz w:val="18"/>
                <w:szCs w:val="18"/>
              </w:rPr>
            </w:pPr>
            <w:r>
              <w:rPr>
                <w:rFonts w:cs="Calibri"/>
                <w:sz w:val="18"/>
                <w:szCs w:val="18"/>
              </w:rPr>
              <w:t xml:space="preserve">Po przeglądzie śródokresowym, w oparciu </w:t>
            </w:r>
            <w:r w:rsidR="00051282">
              <w:rPr>
                <w:rFonts w:cs="Calibri"/>
                <w:sz w:val="18"/>
                <w:szCs w:val="18"/>
              </w:rPr>
              <w:t xml:space="preserve">o dane wg stanu na 2020 r. zwiększono wartość </w:t>
            </w:r>
            <w:proofErr w:type="spellStart"/>
            <w:r w:rsidR="00051282">
              <w:rPr>
                <w:rFonts w:cs="Calibri"/>
                <w:sz w:val="18"/>
                <w:szCs w:val="18"/>
              </w:rPr>
              <w:t>decelową</w:t>
            </w:r>
            <w:proofErr w:type="spellEnd"/>
            <w:r w:rsidR="00051282">
              <w:rPr>
                <w:rFonts w:cs="Calibri"/>
                <w:sz w:val="18"/>
                <w:szCs w:val="18"/>
              </w:rPr>
              <w:t xml:space="preserve"> na2023. Nowy cel końcowy został obliczony w oparciu o </w:t>
            </w:r>
            <w:r>
              <w:rPr>
                <w:rFonts w:cs="Calibri"/>
                <w:sz w:val="18"/>
                <w:szCs w:val="18"/>
              </w:rPr>
              <w:t>wartości wskaźnika wynikające z podpisanych umów</w:t>
            </w:r>
            <w:r w:rsidR="00051282">
              <w:rPr>
                <w:rFonts w:cs="Calibri"/>
                <w:sz w:val="18"/>
                <w:szCs w:val="18"/>
              </w:rPr>
              <w:t xml:space="preserve"> i szacowanego rozwiązywania umów. </w:t>
            </w:r>
          </w:p>
        </w:tc>
      </w:tr>
      <w:tr w:rsidR="00C44F2E" w:rsidRPr="00DE15D1" w:rsidTr="00C44F2E">
        <w:trPr>
          <w:trHeight w:val="210"/>
        </w:trPr>
        <w:tc>
          <w:tcPr>
            <w:tcW w:w="184" w:type="pct"/>
            <w:tcBorders>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1</w:t>
            </w:r>
          </w:p>
        </w:tc>
        <w:tc>
          <w:tcPr>
            <w:tcW w:w="1009" w:type="pct"/>
            <w:tcBorders>
              <w:bottom w:val="single" w:sz="4" w:space="0" w:color="auto"/>
            </w:tcBorders>
          </w:tcPr>
          <w:p w:rsidR="00C44F2E" w:rsidRPr="00CC3C1B" w:rsidRDefault="00C44F2E" w:rsidP="00977ACF">
            <w:pPr>
              <w:spacing w:before="60" w:after="60" w:line="240" w:lineRule="auto"/>
              <w:rPr>
                <w:rFonts w:cs="Calibri"/>
                <w:color w:val="000000"/>
                <w:sz w:val="18"/>
                <w:szCs w:val="18"/>
              </w:rPr>
            </w:pPr>
            <w:r w:rsidRPr="00CC3C1B">
              <w:rPr>
                <w:rFonts w:cs="Calibri"/>
                <w:bCs/>
                <w:i/>
                <w:color w:val="000000"/>
                <w:sz w:val="18"/>
                <w:szCs w:val="18"/>
                <w:lang w:eastAsia="pl-PL"/>
              </w:rPr>
              <w:t xml:space="preserve">Dodatkowe gospodarstwa domowe objęte szerokopasmowym dostępem do sieci o przepustowości co najmniej 30 </w:t>
            </w:r>
            <w:proofErr w:type="spellStart"/>
            <w:r w:rsidRPr="00CC3C1B">
              <w:rPr>
                <w:rFonts w:cs="Calibri"/>
                <w:bCs/>
                <w:i/>
                <w:color w:val="000000"/>
                <w:sz w:val="18"/>
                <w:szCs w:val="18"/>
                <w:lang w:eastAsia="pl-PL"/>
              </w:rPr>
              <w:t>Mb</w:t>
            </w:r>
            <w:proofErr w:type="spellEnd"/>
            <w:r w:rsidRPr="00CC3C1B">
              <w:rPr>
                <w:rFonts w:cs="Calibri"/>
                <w:bCs/>
                <w:i/>
                <w:color w:val="000000"/>
                <w:sz w:val="18"/>
                <w:szCs w:val="18"/>
                <w:lang w:eastAsia="pl-PL"/>
              </w:rPr>
              <w:t>/s na podstawie wartości docelowej z zawartych umów o dofinansowanie projektów</w:t>
            </w:r>
          </w:p>
        </w:tc>
        <w:tc>
          <w:tcPr>
            <w:tcW w:w="229" w:type="pct"/>
            <w:tcBorders>
              <w:bottom w:val="single" w:sz="4" w:space="0" w:color="auto"/>
            </w:tcBorders>
          </w:tcPr>
          <w:p w:rsidR="00C44F2E" w:rsidRPr="00DE15D1" w:rsidRDefault="00C44F2E" w:rsidP="00977ACF">
            <w:pPr>
              <w:spacing w:before="60" w:after="60" w:line="240" w:lineRule="auto"/>
              <w:rPr>
                <w:rFonts w:cs="Calibri"/>
                <w:sz w:val="18"/>
                <w:szCs w:val="18"/>
              </w:rPr>
            </w:pPr>
          </w:p>
        </w:tc>
        <w:tc>
          <w:tcPr>
            <w:tcW w:w="320" w:type="pct"/>
            <w:tcBorders>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KEW</w:t>
            </w:r>
          </w:p>
        </w:tc>
        <w:tc>
          <w:tcPr>
            <w:tcW w:w="366" w:type="pct"/>
            <w:tcBorders>
              <w:bottom w:val="single" w:sz="4" w:space="0" w:color="auto"/>
            </w:tcBorders>
          </w:tcPr>
          <w:p w:rsidR="00C44F2E" w:rsidRPr="00DE15D1" w:rsidRDefault="00C44F2E" w:rsidP="00977ACF">
            <w:pPr>
              <w:spacing w:before="60" w:after="60" w:line="240" w:lineRule="auto"/>
              <w:rPr>
                <w:rFonts w:cs="Calibri"/>
                <w:sz w:val="18"/>
                <w:szCs w:val="18"/>
              </w:rPr>
            </w:pPr>
            <w:proofErr w:type="spellStart"/>
            <w:r w:rsidRPr="00DE15D1">
              <w:rPr>
                <w:rFonts w:cs="Calibri"/>
                <w:sz w:val="18"/>
                <w:szCs w:val="18"/>
              </w:rPr>
              <w:t>szt</w:t>
            </w:r>
            <w:proofErr w:type="spellEnd"/>
          </w:p>
        </w:tc>
        <w:tc>
          <w:tcPr>
            <w:tcW w:w="229" w:type="pct"/>
            <w:tcBorders>
              <w:bottom w:val="single" w:sz="4" w:space="0" w:color="auto"/>
            </w:tcBorders>
          </w:tcPr>
          <w:p w:rsidR="00C44F2E" w:rsidRPr="00DE15D1" w:rsidRDefault="00C44F2E" w:rsidP="00977ACF">
            <w:pPr>
              <w:spacing w:line="240" w:lineRule="auto"/>
              <w:rPr>
                <w:rFonts w:cs="Calibri"/>
                <w:sz w:val="18"/>
                <w:szCs w:val="18"/>
              </w:rPr>
            </w:pPr>
            <w:r w:rsidRPr="00DE15D1">
              <w:rPr>
                <w:rFonts w:cs="Calibri"/>
                <w:sz w:val="18"/>
                <w:szCs w:val="18"/>
              </w:rPr>
              <w:t>EFRR</w:t>
            </w:r>
          </w:p>
        </w:tc>
        <w:tc>
          <w:tcPr>
            <w:tcW w:w="321" w:type="pct"/>
            <w:tcBorders>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Słabiej rozwinięty</w:t>
            </w:r>
          </w:p>
        </w:tc>
        <w:tc>
          <w:tcPr>
            <w:tcW w:w="91" w:type="pct"/>
            <w:tcBorders>
              <w:bottom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92" w:type="pct"/>
            <w:tcBorders>
              <w:bottom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412" w:type="pct"/>
            <w:tcBorders>
              <w:bottom w:val="single" w:sz="4" w:space="0" w:color="auto"/>
            </w:tcBorders>
          </w:tcPr>
          <w:p w:rsidR="00C44F2E" w:rsidRPr="00E300FF" w:rsidRDefault="00C44F2E" w:rsidP="00D8210E">
            <w:pPr>
              <w:tabs>
                <w:tab w:val="left" w:pos="1188"/>
              </w:tabs>
              <w:spacing w:before="60" w:after="60" w:line="240" w:lineRule="auto"/>
              <w:jc w:val="right"/>
              <w:rPr>
                <w:rFonts w:cs="Calibri"/>
                <w:sz w:val="18"/>
                <w:szCs w:val="18"/>
              </w:rPr>
            </w:pPr>
            <w:r>
              <w:rPr>
                <w:rFonts w:cs="Calibri"/>
                <w:bCs/>
                <w:sz w:val="20"/>
                <w:szCs w:val="20"/>
                <w:lang w:eastAsia="pl-PL"/>
              </w:rPr>
              <w:t>475 777</w:t>
            </w:r>
          </w:p>
        </w:tc>
        <w:tc>
          <w:tcPr>
            <w:tcW w:w="91" w:type="pct"/>
            <w:tcBorders>
              <w:bottom w:val="single" w:sz="4" w:space="0" w:color="auto"/>
            </w:tcBorders>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92" w:type="pct"/>
            <w:tcBorders>
              <w:bottom w:val="single" w:sz="4" w:space="0" w:color="auto"/>
            </w:tcBorders>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413" w:type="pct"/>
            <w:tcBorders>
              <w:bottom w:val="single" w:sz="4" w:space="0" w:color="auto"/>
            </w:tcBorders>
          </w:tcPr>
          <w:p w:rsidR="00C44F2E" w:rsidRPr="00E300FF" w:rsidRDefault="009335A0" w:rsidP="00977ACF">
            <w:pPr>
              <w:tabs>
                <w:tab w:val="left" w:pos="1188"/>
              </w:tabs>
              <w:spacing w:before="60" w:after="60" w:line="240" w:lineRule="auto"/>
              <w:jc w:val="right"/>
              <w:rPr>
                <w:rFonts w:cs="Calibri"/>
                <w:sz w:val="18"/>
                <w:szCs w:val="18"/>
              </w:rPr>
            </w:pPr>
            <w:proofErr w:type="spellStart"/>
            <w:r>
              <w:rPr>
                <w:rFonts w:cs="Calibri"/>
                <w:sz w:val="18"/>
                <w:szCs w:val="18"/>
              </w:rPr>
              <w:t>nd</w:t>
            </w:r>
            <w:proofErr w:type="spellEnd"/>
            <w:r>
              <w:rPr>
                <w:rFonts w:cs="Calibri"/>
                <w:sz w:val="18"/>
                <w:szCs w:val="18"/>
              </w:rPr>
              <w:t>.</w:t>
            </w:r>
          </w:p>
        </w:tc>
        <w:tc>
          <w:tcPr>
            <w:tcW w:w="412" w:type="pct"/>
            <w:tcBorders>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Informatyczny system monitorowania programu</w:t>
            </w:r>
          </w:p>
        </w:tc>
        <w:tc>
          <w:tcPr>
            <w:tcW w:w="739" w:type="pct"/>
            <w:tcBorders>
              <w:bottom w:val="single" w:sz="4" w:space="0" w:color="auto"/>
            </w:tcBorders>
          </w:tcPr>
          <w:p w:rsidR="00C44F2E" w:rsidRPr="00DE15D1" w:rsidRDefault="00C44F2E" w:rsidP="00184E8A">
            <w:pPr>
              <w:spacing w:before="60" w:after="60"/>
              <w:rPr>
                <w:rFonts w:cs="Calibri"/>
                <w:sz w:val="18"/>
                <w:szCs w:val="18"/>
              </w:rPr>
            </w:pPr>
            <w:r>
              <w:rPr>
                <w:rFonts w:cs="Calibri"/>
                <w:sz w:val="18"/>
                <w:szCs w:val="18"/>
              </w:rPr>
              <w:t>-</w:t>
            </w:r>
          </w:p>
        </w:tc>
      </w:tr>
      <w:tr w:rsidR="00C44F2E" w:rsidRPr="00DE15D1" w:rsidTr="00913A82">
        <w:trPr>
          <w:trHeight w:val="199"/>
        </w:trPr>
        <w:tc>
          <w:tcPr>
            <w:tcW w:w="184" w:type="pct"/>
            <w:tcBorders>
              <w:top w:val="single" w:sz="4" w:space="0" w:color="auto"/>
              <w:bottom w:val="thinThickSmallGap" w:sz="18" w:space="0" w:color="1F497D"/>
            </w:tcBorders>
          </w:tcPr>
          <w:p w:rsidR="00C44F2E" w:rsidRPr="00DE15D1" w:rsidRDefault="00C44F2E" w:rsidP="00977ACF">
            <w:pPr>
              <w:spacing w:before="60" w:after="60" w:line="240" w:lineRule="auto"/>
              <w:rPr>
                <w:rFonts w:cs="Calibri"/>
                <w:sz w:val="18"/>
                <w:szCs w:val="18"/>
              </w:rPr>
            </w:pPr>
            <w:r w:rsidRPr="00DE15D1">
              <w:rPr>
                <w:rFonts w:cs="Calibri"/>
                <w:sz w:val="18"/>
                <w:szCs w:val="18"/>
              </w:rPr>
              <w:t>1</w:t>
            </w:r>
          </w:p>
        </w:tc>
        <w:tc>
          <w:tcPr>
            <w:tcW w:w="1009" w:type="pct"/>
            <w:tcBorders>
              <w:top w:val="single" w:sz="4" w:space="0" w:color="auto"/>
              <w:bottom w:val="thinThickSmallGap" w:sz="18" w:space="0" w:color="1F497D"/>
            </w:tcBorders>
          </w:tcPr>
          <w:p w:rsidR="00C44F2E" w:rsidRPr="00CC3C1B" w:rsidRDefault="00C44F2E" w:rsidP="00977ACF">
            <w:pPr>
              <w:spacing w:before="60" w:after="60" w:line="240" w:lineRule="auto"/>
              <w:rPr>
                <w:rFonts w:cs="Calibri"/>
                <w:color w:val="000000"/>
                <w:sz w:val="18"/>
                <w:szCs w:val="18"/>
              </w:rPr>
            </w:pPr>
            <w:r w:rsidRPr="00CC3C1B">
              <w:rPr>
                <w:rFonts w:cs="Calibri"/>
                <w:bCs/>
                <w:i/>
                <w:color w:val="000000"/>
                <w:sz w:val="18"/>
                <w:szCs w:val="18"/>
                <w:lang w:eastAsia="pl-PL"/>
              </w:rPr>
              <w:t>Całkowita kwota certyfikowanych wydatków kwalifikowalnych</w:t>
            </w:r>
          </w:p>
        </w:tc>
        <w:tc>
          <w:tcPr>
            <w:tcW w:w="229" w:type="pct"/>
            <w:tcBorders>
              <w:top w:val="single" w:sz="4" w:space="0" w:color="auto"/>
              <w:bottom w:val="thinThickSmallGap" w:sz="18" w:space="0" w:color="1F497D"/>
            </w:tcBorders>
          </w:tcPr>
          <w:p w:rsidR="00C44F2E" w:rsidRPr="00DE15D1" w:rsidRDefault="00C44F2E" w:rsidP="00977ACF">
            <w:pPr>
              <w:spacing w:before="60" w:after="60" w:line="240" w:lineRule="auto"/>
              <w:rPr>
                <w:rFonts w:cs="Calibri"/>
                <w:sz w:val="18"/>
                <w:szCs w:val="18"/>
              </w:rPr>
            </w:pPr>
          </w:p>
        </w:tc>
        <w:tc>
          <w:tcPr>
            <w:tcW w:w="320" w:type="pct"/>
            <w:tcBorders>
              <w:top w:val="single" w:sz="4" w:space="0" w:color="auto"/>
              <w:bottom w:val="thinThickSmallGap" w:sz="18" w:space="0" w:color="1F497D"/>
            </w:tcBorders>
          </w:tcPr>
          <w:p w:rsidR="00C44F2E" w:rsidRPr="00DE15D1" w:rsidRDefault="00C44F2E" w:rsidP="00977ACF">
            <w:pPr>
              <w:spacing w:before="60" w:after="60" w:line="240" w:lineRule="auto"/>
              <w:rPr>
                <w:rFonts w:cs="Calibri"/>
                <w:sz w:val="18"/>
                <w:szCs w:val="18"/>
              </w:rPr>
            </w:pPr>
            <w:r w:rsidRPr="00DE15D1">
              <w:rPr>
                <w:rFonts w:cs="Calibri"/>
                <w:sz w:val="18"/>
                <w:szCs w:val="18"/>
              </w:rPr>
              <w:t>Wskaźnik</w:t>
            </w:r>
            <w:r>
              <w:rPr>
                <w:rFonts w:cs="Calibri"/>
                <w:sz w:val="18"/>
                <w:szCs w:val="18"/>
              </w:rPr>
              <w:t xml:space="preserve"> finansowy</w:t>
            </w:r>
          </w:p>
        </w:tc>
        <w:tc>
          <w:tcPr>
            <w:tcW w:w="366" w:type="pct"/>
            <w:tcBorders>
              <w:top w:val="single" w:sz="4" w:space="0" w:color="auto"/>
              <w:bottom w:val="thinThickSmallGap" w:sz="18" w:space="0" w:color="1F497D"/>
            </w:tcBorders>
          </w:tcPr>
          <w:p w:rsidR="00C44F2E" w:rsidRPr="00DE15D1" w:rsidRDefault="00C44F2E" w:rsidP="00977ACF">
            <w:pPr>
              <w:spacing w:before="60" w:after="60" w:line="240" w:lineRule="auto"/>
              <w:rPr>
                <w:rFonts w:cs="Calibri"/>
                <w:sz w:val="18"/>
                <w:szCs w:val="18"/>
              </w:rPr>
            </w:pPr>
            <w:r>
              <w:rPr>
                <w:rFonts w:cs="Calibri"/>
                <w:sz w:val="18"/>
                <w:szCs w:val="18"/>
              </w:rPr>
              <w:t>EUR</w:t>
            </w:r>
          </w:p>
        </w:tc>
        <w:tc>
          <w:tcPr>
            <w:tcW w:w="229" w:type="pct"/>
            <w:tcBorders>
              <w:top w:val="single" w:sz="4" w:space="0" w:color="auto"/>
              <w:bottom w:val="thinThickSmallGap" w:sz="18" w:space="0" w:color="1F497D"/>
            </w:tcBorders>
          </w:tcPr>
          <w:p w:rsidR="00C44F2E" w:rsidRPr="00DE15D1" w:rsidRDefault="00C44F2E" w:rsidP="00977ACF">
            <w:pPr>
              <w:spacing w:line="240" w:lineRule="auto"/>
              <w:rPr>
                <w:rFonts w:cs="Calibri"/>
                <w:sz w:val="18"/>
                <w:szCs w:val="18"/>
              </w:rPr>
            </w:pPr>
            <w:r w:rsidRPr="00DE15D1">
              <w:rPr>
                <w:rFonts w:cs="Calibri"/>
                <w:sz w:val="18"/>
                <w:szCs w:val="18"/>
              </w:rPr>
              <w:t>EFRR</w:t>
            </w:r>
          </w:p>
        </w:tc>
        <w:tc>
          <w:tcPr>
            <w:tcW w:w="321" w:type="pct"/>
            <w:tcBorders>
              <w:top w:val="single" w:sz="4" w:space="0" w:color="auto"/>
              <w:bottom w:val="thinThickSmallGap" w:sz="18" w:space="0" w:color="1F497D"/>
            </w:tcBorders>
          </w:tcPr>
          <w:p w:rsidR="00C44F2E" w:rsidRPr="00DE15D1" w:rsidRDefault="00C44F2E" w:rsidP="00977ACF">
            <w:pPr>
              <w:spacing w:before="60" w:after="60" w:line="240" w:lineRule="auto"/>
              <w:rPr>
                <w:rFonts w:cs="Calibri"/>
                <w:sz w:val="18"/>
                <w:szCs w:val="18"/>
              </w:rPr>
            </w:pPr>
            <w:r w:rsidRPr="00DE15D1">
              <w:rPr>
                <w:rFonts w:cs="Calibri"/>
                <w:sz w:val="18"/>
                <w:szCs w:val="18"/>
              </w:rPr>
              <w:t>Słabiej rozwinięty</w:t>
            </w:r>
          </w:p>
        </w:tc>
        <w:tc>
          <w:tcPr>
            <w:tcW w:w="91" w:type="pct"/>
            <w:tcBorders>
              <w:top w:val="single" w:sz="4" w:space="0" w:color="auto"/>
              <w:bottom w:val="thinThickSmallGap" w:sz="18" w:space="0" w:color="1F497D"/>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92" w:type="pct"/>
            <w:tcBorders>
              <w:top w:val="single" w:sz="4" w:space="0" w:color="auto"/>
              <w:bottom w:val="thinThickSmallGap" w:sz="18" w:space="0" w:color="1F497D"/>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412" w:type="pct"/>
            <w:tcBorders>
              <w:top w:val="single" w:sz="4" w:space="0" w:color="auto"/>
              <w:bottom w:val="thinThickSmallGap" w:sz="18" w:space="0" w:color="1F497D"/>
            </w:tcBorders>
          </w:tcPr>
          <w:p w:rsidR="00C44F2E" w:rsidRPr="00E300FF" w:rsidRDefault="00C44F2E" w:rsidP="00977ACF">
            <w:pPr>
              <w:tabs>
                <w:tab w:val="left" w:pos="1188"/>
              </w:tabs>
              <w:spacing w:before="60" w:after="60" w:line="240" w:lineRule="auto"/>
              <w:jc w:val="right"/>
              <w:rPr>
                <w:rFonts w:cs="Calibri"/>
                <w:sz w:val="18"/>
                <w:szCs w:val="18"/>
              </w:rPr>
            </w:pPr>
            <w:r w:rsidRPr="00D06F4D">
              <w:rPr>
                <w:rFonts w:cs="Calibri"/>
                <w:sz w:val="18"/>
                <w:szCs w:val="18"/>
              </w:rPr>
              <w:t>18</w:t>
            </w:r>
            <w:r>
              <w:rPr>
                <w:rFonts w:cs="Calibri"/>
                <w:sz w:val="18"/>
                <w:szCs w:val="18"/>
              </w:rPr>
              <w:t>3 389 995</w:t>
            </w:r>
          </w:p>
        </w:tc>
        <w:tc>
          <w:tcPr>
            <w:tcW w:w="91" w:type="pct"/>
            <w:tcBorders>
              <w:top w:val="single" w:sz="4" w:space="0" w:color="auto"/>
              <w:bottom w:val="thinThickSmallGap" w:sz="18" w:space="0" w:color="1F497D"/>
            </w:tcBorders>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92" w:type="pct"/>
            <w:tcBorders>
              <w:top w:val="single" w:sz="4" w:space="0" w:color="auto"/>
              <w:bottom w:val="thinThickSmallGap" w:sz="18" w:space="0" w:color="1F497D"/>
            </w:tcBorders>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413" w:type="pct"/>
            <w:tcBorders>
              <w:top w:val="single" w:sz="4" w:space="0" w:color="auto"/>
              <w:bottom w:val="thinThickSmallGap" w:sz="18" w:space="0" w:color="1F497D"/>
            </w:tcBorders>
          </w:tcPr>
          <w:p w:rsidR="00C44F2E" w:rsidRPr="00E300FF" w:rsidRDefault="009B6A15">
            <w:pPr>
              <w:tabs>
                <w:tab w:val="left" w:pos="1188"/>
              </w:tabs>
              <w:spacing w:before="60" w:after="60" w:line="240" w:lineRule="auto"/>
              <w:jc w:val="right"/>
              <w:rPr>
                <w:rFonts w:cs="Calibri"/>
                <w:sz w:val="18"/>
                <w:szCs w:val="18"/>
              </w:rPr>
            </w:pPr>
            <w:r w:rsidRPr="00954D5E">
              <w:rPr>
                <w:rFonts w:cs="Calibri"/>
                <w:sz w:val="18"/>
                <w:szCs w:val="18"/>
              </w:rPr>
              <w:t>1 342</w:t>
            </w:r>
            <w:r w:rsidR="008820BF">
              <w:rPr>
                <w:rFonts w:cs="Calibri"/>
                <w:sz w:val="18"/>
                <w:szCs w:val="18"/>
              </w:rPr>
              <w:t> 266 576</w:t>
            </w:r>
          </w:p>
        </w:tc>
        <w:tc>
          <w:tcPr>
            <w:tcW w:w="412" w:type="pct"/>
            <w:tcBorders>
              <w:top w:val="single" w:sz="4" w:space="0" w:color="auto"/>
              <w:bottom w:val="thinThickSmallGap" w:sz="18" w:space="0" w:color="1F497D"/>
            </w:tcBorders>
          </w:tcPr>
          <w:p w:rsidR="00C44F2E" w:rsidRPr="00DE15D1" w:rsidRDefault="00C44F2E" w:rsidP="00977ACF">
            <w:pPr>
              <w:spacing w:before="60" w:after="60" w:line="240" w:lineRule="auto"/>
              <w:rPr>
                <w:rFonts w:cs="Calibri"/>
                <w:sz w:val="18"/>
                <w:szCs w:val="18"/>
              </w:rPr>
            </w:pPr>
            <w:r w:rsidRPr="00DE15D1">
              <w:rPr>
                <w:rFonts w:cs="Calibri"/>
                <w:sz w:val="18"/>
                <w:szCs w:val="18"/>
              </w:rPr>
              <w:t>Informatyczny system monitorowania programu</w:t>
            </w:r>
          </w:p>
        </w:tc>
        <w:tc>
          <w:tcPr>
            <w:tcW w:w="739" w:type="pct"/>
            <w:tcBorders>
              <w:top w:val="single" w:sz="4" w:space="0" w:color="auto"/>
              <w:bottom w:val="thinThickSmallGap" w:sz="18" w:space="0" w:color="1F497D"/>
            </w:tcBorders>
          </w:tcPr>
          <w:p w:rsidR="00C44F2E" w:rsidRPr="00DE15D1" w:rsidRDefault="00C44F2E" w:rsidP="00913A82">
            <w:pPr>
              <w:spacing w:before="60" w:after="60"/>
              <w:rPr>
                <w:rFonts w:cs="Calibri"/>
                <w:sz w:val="18"/>
                <w:szCs w:val="18"/>
              </w:rPr>
            </w:pPr>
            <w:r w:rsidRPr="00DE15D1">
              <w:rPr>
                <w:rFonts w:cs="Calibri"/>
                <w:sz w:val="18"/>
                <w:szCs w:val="18"/>
              </w:rPr>
              <w:t>-</w:t>
            </w:r>
          </w:p>
          <w:p w:rsidR="00C44F2E" w:rsidRPr="00DE15D1" w:rsidRDefault="00C44F2E" w:rsidP="00184E8A">
            <w:pPr>
              <w:spacing w:before="60" w:after="60"/>
              <w:rPr>
                <w:rFonts w:cs="Calibri"/>
                <w:sz w:val="18"/>
                <w:szCs w:val="18"/>
              </w:rPr>
            </w:pPr>
          </w:p>
        </w:tc>
      </w:tr>
      <w:tr w:rsidR="00C44F2E" w:rsidRPr="00DE15D1" w:rsidTr="00913A82">
        <w:trPr>
          <w:trHeight w:val="190"/>
        </w:trPr>
        <w:tc>
          <w:tcPr>
            <w:tcW w:w="184" w:type="pct"/>
            <w:tcBorders>
              <w:top w:val="thinThickSmallGap" w:sz="18" w:space="0" w:color="1F497D"/>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1</w:t>
            </w:r>
          </w:p>
        </w:tc>
        <w:tc>
          <w:tcPr>
            <w:tcW w:w="1009" w:type="pct"/>
            <w:tcBorders>
              <w:top w:val="thinThickSmallGap" w:sz="18" w:space="0" w:color="1F497D"/>
              <w:bottom w:val="single" w:sz="4" w:space="0" w:color="auto"/>
            </w:tcBorders>
          </w:tcPr>
          <w:p w:rsidR="00C44F2E" w:rsidRPr="00CC3C1B" w:rsidRDefault="00C44F2E" w:rsidP="00977ACF">
            <w:pPr>
              <w:spacing w:before="60" w:after="60" w:line="240" w:lineRule="auto"/>
              <w:rPr>
                <w:rFonts w:cs="Calibri"/>
                <w:color w:val="000000"/>
                <w:sz w:val="18"/>
                <w:szCs w:val="18"/>
              </w:rPr>
            </w:pPr>
            <w:r w:rsidRPr="00CC3C1B">
              <w:rPr>
                <w:rFonts w:cs="Calibri"/>
                <w:bCs/>
                <w:i/>
                <w:color w:val="000000"/>
                <w:sz w:val="18"/>
                <w:szCs w:val="18"/>
                <w:lang w:eastAsia="pl-PL"/>
              </w:rPr>
              <w:t xml:space="preserve">Dodatkowe gospodarstwa domowe </w:t>
            </w:r>
            <w:r w:rsidRPr="00CC3C1B">
              <w:rPr>
                <w:rFonts w:cs="Calibri"/>
                <w:bCs/>
                <w:i/>
                <w:color w:val="000000"/>
                <w:sz w:val="18"/>
                <w:szCs w:val="18"/>
                <w:lang w:eastAsia="pl-PL"/>
              </w:rPr>
              <w:lastRenderedPageBreak/>
              <w:t xml:space="preserve">objęte szerokopasmowym dostępem do sieci o przepustowości co najmniej 30 </w:t>
            </w:r>
            <w:proofErr w:type="spellStart"/>
            <w:r w:rsidRPr="00CC3C1B">
              <w:rPr>
                <w:rFonts w:cs="Calibri"/>
                <w:bCs/>
                <w:i/>
                <w:color w:val="000000"/>
                <w:sz w:val="18"/>
                <w:szCs w:val="18"/>
                <w:lang w:eastAsia="pl-PL"/>
              </w:rPr>
              <w:t>Mb</w:t>
            </w:r>
            <w:proofErr w:type="spellEnd"/>
            <w:r w:rsidRPr="00CC3C1B">
              <w:rPr>
                <w:rFonts w:cs="Calibri"/>
                <w:bCs/>
                <w:i/>
                <w:color w:val="000000"/>
                <w:sz w:val="18"/>
                <w:szCs w:val="18"/>
                <w:lang w:eastAsia="pl-PL"/>
              </w:rPr>
              <w:t>/s</w:t>
            </w:r>
          </w:p>
        </w:tc>
        <w:tc>
          <w:tcPr>
            <w:tcW w:w="229" w:type="pct"/>
            <w:tcBorders>
              <w:top w:val="thinThickSmallGap" w:sz="18" w:space="0" w:color="1F497D"/>
              <w:bottom w:val="single" w:sz="4" w:space="0" w:color="auto"/>
            </w:tcBorders>
          </w:tcPr>
          <w:p w:rsidR="00C44F2E" w:rsidRPr="00DE15D1" w:rsidRDefault="00C44F2E" w:rsidP="00977ACF">
            <w:pPr>
              <w:spacing w:before="60" w:after="60" w:line="240" w:lineRule="auto"/>
              <w:rPr>
                <w:rFonts w:cs="Calibri"/>
                <w:sz w:val="18"/>
                <w:szCs w:val="18"/>
              </w:rPr>
            </w:pPr>
          </w:p>
        </w:tc>
        <w:tc>
          <w:tcPr>
            <w:tcW w:w="320" w:type="pct"/>
            <w:tcBorders>
              <w:top w:val="thinThickSmallGap" w:sz="18" w:space="0" w:color="1F497D"/>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Wskaźnik</w:t>
            </w:r>
            <w:r>
              <w:rPr>
                <w:rFonts w:cs="Calibri"/>
                <w:sz w:val="18"/>
                <w:szCs w:val="18"/>
              </w:rPr>
              <w:t xml:space="preserve"> </w:t>
            </w:r>
            <w:r>
              <w:rPr>
                <w:rFonts w:cs="Calibri"/>
                <w:sz w:val="18"/>
                <w:szCs w:val="18"/>
              </w:rPr>
              <w:lastRenderedPageBreak/>
              <w:t>produktu</w:t>
            </w:r>
          </w:p>
        </w:tc>
        <w:tc>
          <w:tcPr>
            <w:tcW w:w="366" w:type="pct"/>
            <w:tcBorders>
              <w:top w:val="thinThickSmallGap" w:sz="18" w:space="0" w:color="1F497D"/>
              <w:bottom w:val="single" w:sz="4" w:space="0" w:color="auto"/>
            </w:tcBorders>
          </w:tcPr>
          <w:p w:rsidR="00C44F2E" w:rsidRPr="00DE15D1" w:rsidRDefault="00C44F2E" w:rsidP="00977ACF">
            <w:pPr>
              <w:spacing w:before="60" w:after="60" w:line="240" w:lineRule="auto"/>
              <w:rPr>
                <w:rFonts w:cs="Calibri"/>
                <w:sz w:val="18"/>
                <w:szCs w:val="18"/>
              </w:rPr>
            </w:pPr>
            <w:proofErr w:type="spellStart"/>
            <w:r w:rsidRPr="00DE15D1">
              <w:rPr>
                <w:rFonts w:cs="Calibri"/>
                <w:sz w:val="18"/>
                <w:szCs w:val="18"/>
              </w:rPr>
              <w:lastRenderedPageBreak/>
              <w:t>szt</w:t>
            </w:r>
            <w:proofErr w:type="spellEnd"/>
          </w:p>
        </w:tc>
        <w:tc>
          <w:tcPr>
            <w:tcW w:w="229" w:type="pct"/>
            <w:tcBorders>
              <w:top w:val="thinThickSmallGap" w:sz="18" w:space="0" w:color="1F497D"/>
              <w:bottom w:val="single" w:sz="4" w:space="0" w:color="auto"/>
            </w:tcBorders>
          </w:tcPr>
          <w:p w:rsidR="00C44F2E" w:rsidRPr="00DE15D1" w:rsidRDefault="00C44F2E" w:rsidP="00977ACF">
            <w:pPr>
              <w:spacing w:line="240" w:lineRule="auto"/>
              <w:rPr>
                <w:rFonts w:cs="Calibri"/>
                <w:sz w:val="18"/>
                <w:szCs w:val="18"/>
              </w:rPr>
            </w:pPr>
            <w:r w:rsidRPr="00DE15D1">
              <w:rPr>
                <w:rFonts w:cs="Calibri"/>
                <w:sz w:val="18"/>
                <w:szCs w:val="18"/>
              </w:rPr>
              <w:t>EFRR</w:t>
            </w:r>
          </w:p>
        </w:tc>
        <w:tc>
          <w:tcPr>
            <w:tcW w:w="321" w:type="pct"/>
            <w:tcBorders>
              <w:top w:val="thinThickSmallGap" w:sz="18" w:space="0" w:color="1F497D"/>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 xml:space="preserve">Lepiej </w:t>
            </w:r>
            <w:r w:rsidRPr="00DE15D1">
              <w:rPr>
                <w:rFonts w:cs="Calibri"/>
                <w:sz w:val="18"/>
                <w:szCs w:val="18"/>
              </w:rPr>
              <w:lastRenderedPageBreak/>
              <w:t>rozwinięty</w:t>
            </w:r>
          </w:p>
        </w:tc>
        <w:tc>
          <w:tcPr>
            <w:tcW w:w="91" w:type="pct"/>
            <w:tcBorders>
              <w:top w:val="thinThickSmallGap" w:sz="18" w:space="0" w:color="1F497D"/>
              <w:bottom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92" w:type="pct"/>
            <w:tcBorders>
              <w:top w:val="thinThickSmallGap" w:sz="18" w:space="0" w:color="1F497D"/>
              <w:bottom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412" w:type="pct"/>
            <w:tcBorders>
              <w:top w:val="thinThickSmallGap" w:sz="18" w:space="0" w:color="1F497D"/>
              <w:bottom w:val="single" w:sz="4" w:space="0" w:color="auto"/>
            </w:tcBorders>
          </w:tcPr>
          <w:p w:rsidR="00C44F2E" w:rsidRPr="00E300FF" w:rsidRDefault="00C44F2E" w:rsidP="00D8210E">
            <w:pPr>
              <w:tabs>
                <w:tab w:val="left" w:pos="1188"/>
              </w:tabs>
              <w:spacing w:before="60" w:after="60" w:line="240" w:lineRule="auto"/>
              <w:jc w:val="right"/>
              <w:rPr>
                <w:rFonts w:cs="Calibri"/>
                <w:sz w:val="18"/>
                <w:szCs w:val="18"/>
              </w:rPr>
            </w:pPr>
            <w:r w:rsidRPr="00E300FF">
              <w:rPr>
                <w:rFonts w:cs="Calibri"/>
                <w:sz w:val="18"/>
                <w:szCs w:val="18"/>
              </w:rPr>
              <w:t>0</w:t>
            </w:r>
          </w:p>
        </w:tc>
        <w:tc>
          <w:tcPr>
            <w:tcW w:w="91" w:type="pct"/>
            <w:tcBorders>
              <w:top w:val="thinThickSmallGap" w:sz="18" w:space="0" w:color="1F497D"/>
              <w:bottom w:val="single" w:sz="4" w:space="0" w:color="auto"/>
            </w:tcBorders>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92" w:type="pct"/>
            <w:tcBorders>
              <w:top w:val="thinThickSmallGap" w:sz="18" w:space="0" w:color="1F497D"/>
              <w:bottom w:val="single" w:sz="4" w:space="0" w:color="auto"/>
            </w:tcBorders>
            <w:shd w:val="clear" w:color="auto" w:fill="D9D9D9"/>
          </w:tcPr>
          <w:p w:rsidR="00C44F2E" w:rsidRPr="00E300FF" w:rsidRDefault="00C44F2E" w:rsidP="00977ACF">
            <w:pPr>
              <w:tabs>
                <w:tab w:val="left" w:pos="1188"/>
              </w:tabs>
              <w:spacing w:before="60" w:after="60" w:line="240" w:lineRule="auto"/>
              <w:jc w:val="right"/>
              <w:rPr>
                <w:rFonts w:cs="Calibri"/>
                <w:sz w:val="18"/>
                <w:szCs w:val="18"/>
              </w:rPr>
            </w:pPr>
          </w:p>
        </w:tc>
        <w:tc>
          <w:tcPr>
            <w:tcW w:w="413" w:type="pct"/>
            <w:tcBorders>
              <w:top w:val="thinThickSmallGap" w:sz="18" w:space="0" w:color="1F497D"/>
              <w:bottom w:val="single" w:sz="4" w:space="0" w:color="auto"/>
            </w:tcBorders>
          </w:tcPr>
          <w:p w:rsidR="002877C1" w:rsidRDefault="002877C1" w:rsidP="00977ACF">
            <w:pPr>
              <w:tabs>
                <w:tab w:val="left" w:pos="1188"/>
              </w:tabs>
              <w:spacing w:before="60" w:after="60" w:line="240" w:lineRule="auto"/>
              <w:jc w:val="right"/>
              <w:rPr>
                <w:rFonts w:cs="Calibri"/>
                <w:bCs/>
                <w:color w:val="000000"/>
                <w:sz w:val="20"/>
                <w:szCs w:val="20"/>
                <w:lang w:eastAsia="pl-PL"/>
              </w:rPr>
            </w:pPr>
            <w:r>
              <w:rPr>
                <w:rFonts w:cs="Calibri"/>
                <w:bCs/>
                <w:color w:val="000000"/>
                <w:sz w:val="20"/>
                <w:szCs w:val="20"/>
                <w:lang w:eastAsia="pl-PL"/>
              </w:rPr>
              <w:t>195 549</w:t>
            </w:r>
          </w:p>
          <w:p w:rsidR="00C44F2E" w:rsidRPr="00E300FF" w:rsidRDefault="00C44F2E" w:rsidP="00977ACF">
            <w:pPr>
              <w:tabs>
                <w:tab w:val="left" w:pos="1188"/>
              </w:tabs>
              <w:spacing w:before="60" w:after="60" w:line="240" w:lineRule="auto"/>
              <w:jc w:val="right"/>
              <w:rPr>
                <w:rFonts w:cs="Calibri"/>
                <w:sz w:val="18"/>
                <w:szCs w:val="18"/>
              </w:rPr>
            </w:pPr>
          </w:p>
        </w:tc>
        <w:tc>
          <w:tcPr>
            <w:tcW w:w="412" w:type="pct"/>
            <w:tcBorders>
              <w:top w:val="thinThickSmallGap" w:sz="18" w:space="0" w:color="1F497D"/>
              <w:bottom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lastRenderedPageBreak/>
              <w:t xml:space="preserve">Informatyczny </w:t>
            </w:r>
            <w:r w:rsidRPr="00DE15D1">
              <w:rPr>
                <w:rFonts w:cs="Calibri"/>
                <w:sz w:val="18"/>
                <w:szCs w:val="18"/>
              </w:rPr>
              <w:lastRenderedPageBreak/>
              <w:t>system monitorowania programu</w:t>
            </w:r>
          </w:p>
        </w:tc>
        <w:tc>
          <w:tcPr>
            <w:tcW w:w="739" w:type="pct"/>
            <w:tcBorders>
              <w:top w:val="thinThickSmallGap" w:sz="18" w:space="0" w:color="1F497D"/>
              <w:bottom w:val="single" w:sz="4" w:space="0" w:color="auto"/>
            </w:tcBorders>
          </w:tcPr>
          <w:p w:rsidR="00C44F2E" w:rsidRDefault="00C44F2E" w:rsidP="00184E8A">
            <w:pPr>
              <w:spacing w:before="60" w:after="60"/>
              <w:rPr>
                <w:rFonts w:cs="Calibri"/>
                <w:sz w:val="18"/>
                <w:szCs w:val="18"/>
              </w:rPr>
            </w:pPr>
          </w:p>
          <w:p w:rsidR="002877C1" w:rsidRPr="00DE15D1" w:rsidRDefault="00051282" w:rsidP="00184E8A">
            <w:pPr>
              <w:spacing w:before="60" w:after="60"/>
              <w:rPr>
                <w:rFonts w:cs="Calibri"/>
                <w:sz w:val="18"/>
                <w:szCs w:val="18"/>
              </w:rPr>
            </w:pPr>
            <w:r>
              <w:rPr>
                <w:rFonts w:cs="Calibri"/>
                <w:sz w:val="18"/>
                <w:szCs w:val="18"/>
              </w:rPr>
              <w:lastRenderedPageBreak/>
              <w:t xml:space="preserve">Po przeglądzie śródokresowym, w oparciu o dane wg stanu na 2020 r. zwiększono wartość </w:t>
            </w:r>
            <w:proofErr w:type="spellStart"/>
            <w:r>
              <w:rPr>
                <w:rFonts w:cs="Calibri"/>
                <w:sz w:val="18"/>
                <w:szCs w:val="18"/>
              </w:rPr>
              <w:t>decelową</w:t>
            </w:r>
            <w:proofErr w:type="spellEnd"/>
            <w:r>
              <w:rPr>
                <w:rFonts w:cs="Calibri"/>
                <w:sz w:val="18"/>
                <w:szCs w:val="18"/>
              </w:rPr>
              <w:t xml:space="preserve"> na2023. Nowy cel końcowy został obliczony w oparciu o wartości wskaźnika wynikające z podpisanych umów i szacowanego rozwiązywania umów.</w:t>
            </w:r>
          </w:p>
        </w:tc>
      </w:tr>
      <w:tr w:rsidR="00C44F2E" w:rsidRPr="00DE15D1" w:rsidTr="00C44F2E">
        <w:trPr>
          <w:trHeight w:val="190"/>
        </w:trPr>
        <w:tc>
          <w:tcPr>
            <w:tcW w:w="184"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lastRenderedPageBreak/>
              <w:t>1</w:t>
            </w:r>
          </w:p>
        </w:tc>
        <w:tc>
          <w:tcPr>
            <w:tcW w:w="1009" w:type="pct"/>
            <w:tcBorders>
              <w:top w:val="single" w:sz="4" w:space="0" w:color="auto"/>
              <w:left w:val="single" w:sz="4" w:space="0" w:color="auto"/>
              <w:bottom w:val="single" w:sz="4" w:space="0" w:color="auto"/>
              <w:right w:val="single" w:sz="4" w:space="0" w:color="auto"/>
            </w:tcBorders>
          </w:tcPr>
          <w:p w:rsidR="00C44F2E" w:rsidRPr="00CC3C1B" w:rsidRDefault="00C44F2E" w:rsidP="00977ACF">
            <w:pPr>
              <w:spacing w:before="60" w:after="60" w:line="240" w:lineRule="auto"/>
              <w:rPr>
                <w:rFonts w:cs="Calibri"/>
                <w:bCs/>
                <w:i/>
                <w:color w:val="000000"/>
                <w:sz w:val="18"/>
                <w:szCs w:val="18"/>
                <w:lang w:eastAsia="pl-PL"/>
              </w:rPr>
            </w:pPr>
            <w:r w:rsidRPr="00CC3C1B">
              <w:rPr>
                <w:rFonts w:cs="Calibri"/>
                <w:bCs/>
                <w:i/>
                <w:color w:val="000000"/>
                <w:sz w:val="18"/>
                <w:szCs w:val="18"/>
                <w:lang w:eastAsia="pl-PL"/>
              </w:rPr>
              <w:t xml:space="preserve">Dodatkowe gospodarstwa domowe objęte szerokopasmowym dostępem do sieci o przepustowości co najmniej 30 </w:t>
            </w:r>
            <w:proofErr w:type="spellStart"/>
            <w:r w:rsidRPr="00CC3C1B">
              <w:rPr>
                <w:rFonts w:cs="Calibri"/>
                <w:bCs/>
                <w:i/>
                <w:color w:val="000000"/>
                <w:sz w:val="18"/>
                <w:szCs w:val="18"/>
                <w:lang w:eastAsia="pl-PL"/>
              </w:rPr>
              <w:t>Mb</w:t>
            </w:r>
            <w:proofErr w:type="spellEnd"/>
            <w:r w:rsidRPr="00CC3C1B">
              <w:rPr>
                <w:rFonts w:cs="Calibri"/>
                <w:bCs/>
                <w:i/>
                <w:color w:val="000000"/>
                <w:sz w:val="18"/>
                <w:szCs w:val="18"/>
                <w:lang w:eastAsia="pl-PL"/>
              </w:rPr>
              <w:t>/s na podstawie wartości docelowej z zawartych umów o dofinansowanie projektów</w:t>
            </w:r>
          </w:p>
        </w:tc>
        <w:tc>
          <w:tcPr>
            <w:tcW w:w="229"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p>
        </w:tc>
        <w:tc>
          <w:tcPr>
            <w:tcW w:w="320"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KEW</w:t>
            </w:r>
          </w:p>
        </w:tc>
        <w:tc>
          <w:tcPr>
            <w:tcW w:w="366" w:type="pct"/>
            <w:tcBorders>
              <w:top w:val="single" w:sz="4" w:space="0" w:color="auto"/>
              <w:left w:val="single" w:sz="4" w:space="0" w:color="auto"/>
              <w:bottom w:val="single" w:sz="4" w:space="0" w:color="auto"/>
              <w:right w:val="single" w:sz="4" w:space="0" w:color="auto"/>
            </w:tcBorders>
          </w:tcPr>
          <w:p w:rsidR="00C44F2E" w:rsidRPr="00DE15D1" w:rsidRDefault="00C44F2E" w:rsidP="00D601AA">
            <w:pPr>
              <w:spacing w:before="60" w:after="60" w:line="240" w:lineRule="auto"/>
              <w:rPr>
                <w:rFonts w:cs="Calibri"/>
                <w:sz w:val="18"/>
                <w:szCs w:val="18"/>
              </w:rPr>
            </w:pPr>
            <w:proofErr w:type="spellStart"/>
            <w:r w:rsidRPr="00DE15D1">
              <w:rPr>
                <w:rFonts w:cs="Calibri"/>
                <w:sz w:val="18"/>
                <w:szCs w:val="18"/>
              </w:rPr>
              <w:t>szt</w:t>
            </w:r>
            <w:proofErr w:type="spellEnd"/>
          </w:p>
        </w:tc>
        <w:tc>
          <w:tcPr>
            <w:tcW w:w="229"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line="240" w:lineRule="auto"/>
              <w:rPr>
                <w:rFonts w:cs="Calibri"/>
                <w:sz w:val="18"/>
                <w:szCs w:val="18"/>
              </w:rPr>
            </w:pPr>
            <w:r w:rsidRPr="00DE15D1">
              <w:rPr>
                <w:rFonts w:cs="Calibri"/>
                <w:sz w:val="18"/>
                <w:szCs w:val="18"/>
              </w:rPr>
              <w:t>EFRR</w:t>
            </w:r>
          </w:p>
        </w:tc>
        <w:tc>
          <w:tcPr>
            <w:tcW w:w="321"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Lepiej rozwinięty</w:t>
            </w:r>
          </w:p>
        </w:tc>
        <w:tc>
          <w:tcPr>
            <w:tcW w:w="91"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92"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412" w:type="pct"/>
            <w:tcBorders>
              <w:top w:val="single" w:sz="4" w:space="0" w:color="auto"/>
              <w:left w:val="single" w:sz="4" w:space="0" w:color="auto"/>
              <w:bottom w:val="single" w:sz="4" w:space="0" w:color="auto"/>
              <w:right w:val="single" w:sz="4" w:space="0" w:color="auto"/>
            </w:tcBorders>
          </w:tcPr>
          <w:p w:rsidR="00C44F2E" w:rsidRPr="00DE15D1" w:rsidRDefault="00C44F2E" w:rsidP="00D8210E">
            <w:pPr>
              <w:tabs>
                <w:tab w:val="left" w:pos="1188"/>
              </w:tabs>
              <w:spacing w:before="60" w:after="60" w:line="240" w:lineRule="auto"/>
              <w:jc w:val="right"/>
              <w:rPr>
                <w:rFonts w:cs="Calibri"/>
                <w:sz w:val="18"/>
                <w:szCs w:val="18"/>
              </w:rPr>
            </w:pPr>
            <w:r>
              <w:rPr>
                <w:rFonts w:cs="Calibri"/>
                <w:bCs/>
                <w:sz w:val="20"/>
                <w:szCs w:val="20"/>
                <w:lang w:eastAsia="pl-PL"/>
              </w:rPr>
              <w:t>32 785</w:t>
            </w:r>
          </w:p>
        </w:tc>
        <w:tc>
          <w:tcPr>
            <w:tcW w:w="91"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jc w:val="right"/>
              <w:rPr>
                <w:rFonts w:cs="Calibri"/>
                <w:sz w:val="18"/>
                <w:szCs w:val="18"/>
              </w:rPr>
            </w:pPr>
          </w:p>
        </w:tc>
        <w:tc>
          <w:tcPr>
            <w:tcW w:w="92"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jc w:val="right"/>
              <w:rPr>
                <w:rFonts w:cs="Calibri"/>
                <w:sz w:val="18"/>
                <w:szCs w:val="18"/>
              </w:rPr>
            </w:pPr>
          </w:p>
        </w:tc>
        <w:tc>
          <w:tcPr>
            <w:tcW w:w="413" w:type="pct"/>
            <w:tcBorders>
              <w:top w:val="single" w:sz="4" w:space="0" w:color="auto"/>
              <w:left w:val="single" w:sz="4" w:space="0" w:color="auto"/>
              <w:bottom w:val="single" w:sz="4" w:space="0" w:color="auto"/>
              <w:right w:val="single" w:sz="4" w:space="0" w:color="auto"/>
            </w:tcBorders>
          </w:tcPr>
          <w:p w:rsidR="00C44F2E" w:rsidRPr="00DE15D1" w:rsidRDefault="009335A0" w:rsidP="00977ACF">
            <w:pPr>
              <w:tabs>
                <w:tab w:val="left" w:pos="1188"/>
              </w:tabs>
              <w:spacing w:before="60" w:after="60" w:line="240" w:lineRule="auto"/>
              <w:jc w:val="right"/>
              <w:rPr>
                <w:rFonts w:cs="Calibri"/>
                <w:sz w:val="18"/>
                <w:szCs w:val="18"/>
              </w:rPr>
            </w:pPr>
            <w:proofErr w:type="spellStart"/>
            <w:r>
              <w:rPr>
                <w:rFonts w:cs="Calibri"/>
                <w:sz w:val="18"/>
                <w:szCs w:val="18"/>
              </w:rPr>
              <w:t>nd</w:t>
            </w:r>
            <w:proofErr w:type="spellEnd"/>
            <w:r>
              <w:rPr>
                <w:rFonts w:cs="Calibri"/>
                <w:sz w:val="18"/>
                <w:szCs w:val="18"/>
              </w:rPr>
              <w:t>.</w:t>
            </w:r>
          </w:p>
        </w:tc>
        <w:tc>
          <w:tcPr>
            <w:tcW w:w="412"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Informatyczny system monitorowania programu</w:t>
            </w:r>
          </w:p>
        </w:tc>
        <w:tc>
          <w:tcPr>
            <w:tcW w:w="739"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rPr>
                <w:rFonts w:cs="Calibri"/>
                <w:sz w:val="18"/>
                <w:szCs w:val="18"/>
              </w:rPr>
            </w:pPr>
            <w:r>
              <w:rPr>
                <w:rFonts w:cs="Calibri"/>
                <w:sz w:val="18"/>
                <w:szCs w:val="18"/>
              </w:rPr>
              <w:t>-</w:t>
            </w:r>
          </w:p>
        </w:tc>
      </w:tr>
      <w:tr w:rsidR="00C44F2E" w:rsidRPr="00DE15D1" w:rsidTr="00977ACF">
        <w:trPr>
          <w:trHeight w:val="190"/>
        </w:trPr>
        <w:tc>
          <w:tcPr>
            <w:tcW w:w="184"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1</w:t>
            </w:r>
          </w:p>
        </w:tc>
        <w:tc>
          <w:tcPr>
            <w:tcW w:w="1009" w:type="pct"/>
            <w:tcBorders>
              <w:top w:val="single" w:sz="4" w:space="0" w:color="auto"/>
              <w:left w:val="single" w:sz="4" w:space="0" w:color="auto"/>
              <w:bottom w:val="single" w:sz="4" w:space="0" w:color="auto"/>
              <w:right w:val="single" w:sz="4" w:space="0" w:color="auto"/>
            </w:tcBorders>
          </w:tcPr>
          <w:p w:rsidR="00C44F2E" w:rsidRPr="00CC3C1B" w:rsidRDefault="00C44F2E" w:rsidP="00977ACF">
            <w:pPr>
              <w:spacing w:before="60" w:after="60" w:line="240" w:lineRule="auto"/>
              <w:rPr>
                <w:rFonts w:cs="Calibri"/>
                <w:bCs/>
                <w:i/>
                <w:color w:val="000000"/>
                <w:sz w:val="18"/>
                <w:szCs w:val="18"/>
                <w:lang w:eastAsia="pl-PL"/>
              </w:rPr>
            </w:pPr>
            <w:r w:rsidRPr="00CC3C1B">
              <w:rPr>
                <w:rFonts w:cs="Calibri"/>
                <w:bCs/>
                <w:i/>
                <w:color w:val="000000"/>
                <w:sz w:val="18"/>
                <w:szCs w:val="18"/>
                <w:lang w:eastAsia="pl-PL"/>
              </w:rPr>
              <w:t>Całkowita kwota certyfikowanych</w:t>
            </w:r>
            <w:r>
              <w:rPr>
                <w:rStyle w:val="Odwoanieprzypisudolnego"/>
                <w:rFonts w:cs="Calibri"/>
                <w:bCs/>
                <w:i/>
                <w:color w:val="000000"/>
                <w:sz w:val="18"/>
                <w:szCs w:val="18"/>
                <w:lang w:eastAsia="pl-PL"/>
              </w:rPr>
              <w:footnoteReference w:id="4"/>
            </w:r>
            <w:r w:rsidRPr="00CC3C1B">
              <w:rPr>
                <w:rFonts w:cs="Calibri"/>
                <w:bCs/>
                <w:i/>
                <w:color w:val="000000"/>
                <w:sz w:val="18"/>
                <w:szCs w:val="18"/>
                <w:lang w:eastAsia="pl-PL"/>
              </w:rPr>
              <w:t xml:space="preserve"> wydatków kwalifikowalnych</w:t>
            </w:r>
          </w:p>
        </w:tc>
        <w:tc>
          <w:tcPr>
            <w:tcW w:w="229"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p>
        </w:tc>
        <w:tc>
          <w:tcPr>
            <w:tcW w:w="320"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Wskaźnik</w:t>
            </w:r>
            <w:r>
              <w:rPr>
                <w:rFonts w:cs="Calibri"/>
                <w:sz w:val="18"/>
                <w:szCs w:val="18"/>
              </w:rPr>
              <w:t xml:space="preserve"> finansowy</w:t>
            </w:r>
          </w:p>
        </w:tc>
        <w:tc>
          <w:tcPr>
            <w:tcW w:w="366" w:type="pct"/>
            <w:tcBorders>
              <w:top w:val="single" w:sz="4" w:space="0" w:color="auto"/>
              <w:left w:val="single" w:sz="4" w:space="0" w:color="auto"/>
              <w:bottom w:val="single" w:sz="4" w:space="0" w:color="auto"/>
              <w:right w:val="single" w:sz="4" w:space="0" w:color="auto"/>
            </w:tcBorders>
          </w:tcPr>
          <w:p w:rsidR="00C44F2E" w:rsidRPr="00DE15D1" w:rsidRDefault="00C44F2E" w:rsidP="00D601AA">
            <w:pPr>
              <w:spacing w:before="60" w:after="60" w:line="240" w:lineRule="auto"/>
              <w:rPr>
                <w:rFonts w:cs="Calibri"/>
                <w:sz w:val="18"/>
                <w:szCs w:val="18"/>
              </w:rPr>
            </w:pPr>
            <w:r>
              <w:rPr>
                <w:rFonts w:cs="Calibri"/>
                <w:sz w:val="18"/>
                <w:szCs w:val="18"/>
              </w:rPr>
              <w:t>EUR</w:t>
            </w:r>
          </w:p>
        </w:tc>
        <w:tc>
          <w:tcPr>
            <w:tcW w:w="229"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line="240" w:lineRule="auto"/>
              <w:rPr>
                <w:rFonts w:cs="Calibri"/>
                <w:sz w:val="18"/>
                <w:szCs w:val="18"/>
              </w:rPr>
            </w:pPr>
            <w:r w:rsidRPr="00DE15D1">
              <w:rPr>
                <w:rFonts w:cs="Calibri"/>
                <w:sz w:val="18"/>
                <w:szCs w:val="18"/>
              </w:rPr>
              <w:t>EFRR</w:t>
            </w:r>
          </w:p>
        </w:tc>
        <w:tc>
          <w:tcPr>
            <w:tcW w:w="321"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Lepiej rozwinięty</w:t>
            </w:r>
          </w:p>
        </w:tc>
        <w:tc>
          <w:tcPr>
            <w:tcW w:w="91"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92"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rPr>
                <w:rFonts w:cs="Calibri"/>
                <w:sz w:val="18"/>
                <w:szCs w:val="18"/>
              </w:rPr>
            </w:pPr>
          </w:p>
        </w:tc>
        <w:tc>
          <w:tcPr>
            <w:tcW w:w="412" w:type="pct"/>
            <w:tcBorders>
              <w:top w:val="single" w:sz="4" w:space="0" w:color="auto"/>
              <w:left w:val="single" w:sz="4" w:space="0" w:color="auto"/>
              <w:bottom w:val="single" w:sz="4" w:space="0" w:color="auto"/>
              <w:right w:val="single" w:sz="4" w:space="0" w:color="auto"/>
            </w:tcBorders>
          </w:tcPr>
          <w:p w:rsidR="00C44F2E" w:rsidRPr="00DE15D1" w:rsidRDefault="00C44F2E" w:rsidP="00D8210E">
            <w:pPr>
              <w:tabs>
                <w:tab w:val="left" w:pos="1188"/>
              </w:tabs>
              <w:spacing w:before="60" w:after="60" w:line="240" w:lineRule="auto"/>
              <w:jc w:val="right"/>
              <w:rPr>
                <w:rFonts w:cs="Calibri"/>
                <w:sz w:val="18"/>
                <w:szCs w:val="18"/>
              </w:rPr>
            </w:pPr>
            <w:r w:rsidRPr="00D06F4D">
              <w:rPr>
                <w:rFonts w:cs="Calibri"/>
                <w:sz w:val="18"/>
                <w:szCs w:val="18"/>
              </w:rPr>
              <w:t>14</w:t>
            </w:r>
            <w:r>
              <w:rPr>
                <w:rFonts w:cs="Calibri"/>
                <w:sz w:val="18"/>
                <w:szCs w:val="18"/>
              </w:rPr>
              <w:t xml:space="preserve"> 002 012</w:t>
            </w:r>
          </w:p>
        </w:tc>
        <w:tc>
          <w:tcPr>
            <w:tcW w:w="91"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jc w:val="right"/>
              <w:rPr>
                <w:rFonts w:cs="Calibri"/>
                <w:sz w:val="18"/>
                <w:szCs w:val="18"/>
              </w:rPr>
            </w:pPr>
          </w:p>
        </w:tc>
        <w:tc>
          <w:tcPr>
            <w:tcW w:w="92" w:type="pct"/>
            <w:tcBorders>
              <w:top w:val="single" w:sz="4" w:space="0" w:color="auto"/>
              <w:left w:val="single" w:sz="4" w:space="0" w:color="auto"/>
              <w:bottom w:val="single" w:sz="4" w:space="0" w:color="auto"/>
              <w:right w:val="single" w:sz="4" w:space="0" w:color="auto"/>
            </w:tcBorders>
            <w:shd w:val="clear" w:color="auto" w:fill="D9D9D9"/>
          </w:tcPr>
          <w:p w:rsidR="00C44F2E" w:rsidRPr="00DE15D1" w:rsidRDefault="00C44F2E" w:rsidP="00977ACF">
            <w:pPr>
              <w:tabs>
                <w:tab w:val="left" w:pos="1188"/>
              </w:tabs>
              <w:spacing w:before="60" w:after="60" w:line="240" w:lineRule="auto"/>
              <w:jc w:val="right"/>
              <w:rPr>
                <w:rFonts w:cs="Calibri"/>
                <w:sz w:val="18"/>
                <w:szCs w:val="18"/>
              </w:rPr>
            </w:pPr>
          </w:p>
        </w:tc>
        <w:tc>
          <w:tcPr>
            <w:tcW w:w="413" w:type="pct"/>
            <w:tcBorders>
              <w:top w:val="single" w:sz="4" w:space="0" w:color="auto"/>
              <w:left w:val="single" w:sz="4" w:space="0" w:color="auto"/>
              <w:bottom w:val="single" w:sz="4" w:space="0" w:color="auto"/>
              <w:right w:val="single" w:sz="4" w:space="0" w:color="auto"/>
            </w:tcBorders>
          </w:tcPr>
          <w:p w:rsidR="00C44F2E" w:rsidRPr="00DE15D1" w:rsidRDefault="009B6A15">
            <w:pPr>
              <w:tabs>
                <w:tab w:val="left" w:pos="1188"/>
              </w:tabs>
              <w:spacing w:before="60" w:after="60" w:line="240" w:lineRule="auto"/>
              <w:jc w:val="right"/>
              <w:rPr>
                <w:rFonts w:cs="Calibri"/>
                <w:sz w:val="18"/>
                <w:szCs w:val="18"/>
              </w:rPr>
            </w:pPr>
            <w:r>
              <w:rPr>
                <w:rFonts w:cs="Calibri"/>
                <w:sz w:val="18"/>
                <w:szCs w:val="18"/>
              </w:rPr>
              <w:t>103</w:t>
            </w:r>
            <w:r w:rsidR="008820BF">
              <w:rPr>
                <w:rFonts w:cs="Calibri"/>
                <w:sz w:val="18"/>
                <w:szCs w:val="18"/>
              </w:rPr>
              <w:t> 289 236</w:t>
            </w:r>
          </w:p>
        </w:tc>
        <w:tc>
          <w:tcPr>
            <w:tcW w:w="412"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line="240" w:lineRule="auto"/>
              <w:rPr>
                <w:rFonts w:cs="Calibri"/>
                <w:sz w:val="18"/>
                <w:szCs w:val="18"/>
              </w:rPr>
            </w:pPr>
            <w:r w:rsidRPr="00DE15D1">
              <w:rPr>
                <w:rFonts w:cs="Calibri"/>
                <w:sz w:val="18"/>
                <w:szCs w:val="18"/>
              </w:rPr>
              <w:t>Informatyczny system monitorowania programu</w:t>
            </w:r>
          </w:p>
        </w:tc>
        <w:tc>
          <w:tcPr>
            <w:tcW w:w="739" w:type="pct"/>
            <w:tcBorders>
              <w:top w:val="single" w:sz="4" w:space="0" w:color="auto"/>
              <w:left w:val="single" w:sz="4" w:space="0" w:color="auto"/>
              <w:bottom w:val="single" w:sz="4" w:space="0" w:color="auto"/>
              <w:right w:val="single" w:sz="4" w:space="0" w:color="auto"/>
            </w:tcBorders>
          </w:tcPr>
          <w:p w:rsidR="00C44F2E" w:rsidRPr="00DE15D1" w:rsidRDefault="00C44F2E" w:rsidP="00977ACF">
            <w:pPr>
              <w:spacing w:before="60" w:after="60"/>
              <w:rPr>
                <w:rFonts w:cs="Calibri"/>
                <w:sz w:val="18"/>
                <w:szCs w:val="18"/>
              </w:rPr>
            </w:pPr>
            <w:r>
              <w:rPr>
                <w:rFonts w:cs="Calibri"/>
                <w:sz w:val="18"/>
                <w:szCs w:val="18"/>
              </w:rPr>
              <w:t>-</w:t>
            </w:r>
          </w:p>
        </w:tc>
      </w:tr>
    </w:tbl>
    <w:p w:rsidR="0043575D" w:rsidRDefault="0043575D" w:rsidP="0043575D">
      <w:pPr>
        <w:spacing w:before="120" w:after="120"/>
        <w:jc w:val="center"/>
        <w:rPr>
          <w:rFonts w:cs="Calibri"/>
          <w:b/>
        </w:rPr>
        <w:sectPr w:rsidR="0043575D" w:rsidSect="00977ACF">
          <w:pgSz w:w="16838" w:h="11906" w:orient="landscape" w:code="9"/>
          <w:pgMar w:top="1418" w:right="1418" w:bottom="1418" w:left="1418" w:header="709" w:footer="709" w:gutter="0"/>
          <w:cols w:space="708"/>
          <w:docGrid w:linePitch="360"/>
        </w:sectPr>
      </w:pPr>
    </w:p>
    <w:p w:rsidR="0043575D" w:rsidRPr="00DE15D1" w:rsidRDefault="0043575D" w:rsidP="0043575D">
      <w:pPr>
        <w:spacing w:before="120" w:after="120"/>
        <w:jc w:val="center"/>
        <w:rPr>
          <w:rFonts w:cs="Calibri"/>
          <w:b/>
        </w:rPr>
      </w:pPr>
      <w:r w:rsidRPr="00DE15D1">
        <w:rPr>
          <w:rFonts w:cs="Calibri"/>
          <w:b/>
        </w:rPr>
        <w:lastRenderedPageBreak/>
        <w:t>Informacje dotyczące ustanowienia ram wykonania:</w:t>
      </w:r>
    </w:p>
    <w:p w:rsidR="00426262" w:rsidRPr="00597BF5" w:rsidRDefault="00426262" w:rsidP="00426262">
      <w:pPr>
        <w:numPr>
          <w:ilvl w:val="0"/>
          <w:numId w:val="1"/>
        </w:numPr>
        <w:spacing w:before="120" w:after="120"/>
        <w:contextualSpacing/>
        <w:jc w:val="both"/>
        <w:rPr>
          <w:sz w:val="20"/>
          <w:szCs w:val="20"/>
        </w:rPr>
      </w:pPr>
      <w:r w:rsidRPr="00597BF5">
        <w:rPr>
          <w:sz w:val="20"/>
          <w:szCs w:val="20"/>
        </w:rPr>
        <w:t xml:space="preserve">dane historyczne lub innego rodzaju dowody wykorzystywane do szacowania wartości celów pośrednich i końcowych oraz metody ich obliczania, takie jak na przykład dane dotyczące kosztów jednostkowych, kryteria referencyjne (benchmarki), zwykłe lub obserwowane w przeszłości tempo wdrażania, opinie ekspertów i wnioski z ewaluacji ex </w:t>
      </w:r>
      <w:proofErr w:type="spellStart"/>
      <w:r w:rsidRPr="00597BF5">
        <w:rPr>
          <w:sz w:val="20"/>
          <w:szCs w:val="20"/>
        </w:rPr>
        <w:t>ante</w:t>
      </w:r>
      <w:proofErr w:type="spellEnd"/>
      <w:r w:rsidRPr="00597BF5">
        <w:rPr>
          <w:sz w:val="20"/>
          <w:szCs w:val="20"/>
        </w:rPr>
        <w:t>:</w:t>
      </w:r>
    </w:p>
    <w:p w:rsidR="00551305" w:rsidRPr="00CA21F3" w:rsidRDefault="00551305" w:rsidP="00CA21F3">
      <w:pPr>
        <w:spacing w:before="120" w:after="120" w:line="240" w:lineRule="auto"/>
        <w:jc w:val="both"/>
        <w:rPr>
          <w:rFonts w:cs="Calibri"/>
          <w:b/>
          <w:bCs/>
          <w:i/>
          <w:color w:val="1F497D"/>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3575D" w:rsidRPr="00CC3C1B" w:rsidTr="00981B1C">
        <w:trPr>
          <w:trHeight w:val="2400"/>
        </w:trPr>
        <w:tc>
          <w:tcPr>
            <w:tcW w:w="9286" w:type="dxa"/>
            <w:shd w:val="clear" w:color="auto" w:fill="auto"/>
          </w:tcPr>
          <w:p w:rsidR="00132EC7" w:rsidRPr="00DD7E68" w:rsidRDefault="00132EC7" w:rsidP="00BB5A64">
            <w:pPr>
              <w:autoSpaceDE w:val="0"/>
              <w:autoSpaceDN w:val="0"/>
              <w:adjustRightInd w:val="0"/>
              <w:spacing w:before="120" w:after="120" w:line="240" w:lineRule="auto"/>
              <w:ind w:left="33"/>
              <w:jc w:val="both"/>
              <w:rPr>
                <w:rFonts w:cs="Calibri"/>
                <w:bCs/>
                <w:sz w:val="20"/>
                <w:szCs w:val="20"/>
                <w:u w:val="single"/>
                <w:lang w:eastAsia="pl-PL"/>
              </w:rPr>
            </w:pPr>
            <w:r w:rsidRPr="00DD7E68">
              <w:rPr>
                <w:rFonts w:cs="Calibri"/>
                <w:bCs/>
                <w:sz w:val="20"/>
                <w:szCs w:val="20"/>
                <w:u w:val="single"/>
                <w:lang w:eastAsia="pl-PL"/>
              </w:rPr>
              <w:t>Definicja wskaźnika:</w:t>
            </w:r>
          </w:p>
          <w:p w:rsidR="00663896" w:rsidRPr="00840299" w:rsidRDefault="00663896" w:rsidP="00BB5A64">
            <w:pPr>
              <w:autoSpaceDE w:val="0"/>
              <w:autoSpaceDN w:val="0"/>
              <w:adjustRightInd w:val="0"/>
              <w:spacing w:after="0" w:line="240" w:lineRule="auto"/>
              <w:ind w:left="34"/>
              <w:jc w:val="both"/>
              <w:rPr>
                <w:rFonts w:cs="Calibri"/>
                <w:bCs/>
                <w:sz w:val="20"/>
                <w:szCs w:val="20"/>
                <w:lang w:val="en-US" w:eastAsia="pl-PL"/>
              </w:rPr>
            </w:pPr>
            <w:r w:rsidRPr="008F209B">
              <w:rPr>
                <w:rFonts w:cs="Calibri"/>
                <w:bCs/>
                <w:sz w:val="20"/>
                <w:szCs w:val="20"/>
                <w:lang w:eastAsia="pl-PL"/>
              </w:rPr>
              <w:t xml:space="preserve">Wskaźnik stanowi </w:t>
            </w:r>
            <w:proofErr w:type="spellStart"/>
            <w:r w:rsidRPr="008F209B">
              <w:rPr>
                <w:rFonts w:cs="Calibri"/>
                <w:bCs/>
                <w:i/>
                <w:sz w:val="20"/>
                <w:szCs w:val="20"/>
                <w:lang w:eastAsia="pl-PL"/>
              </w:rPr>
              <w:t>common</w:t>
            </w:r>
            <w:proofErr w:type="spellEnd"/>
            <w:r w:rsidRPr="008F209B">
              <w:rPr>
                <w:rFonts w:cs="Calibri"/>
                <w:bCs/>
                <w:i/>
                <w:sz w:val="20"/>
                <w:szCs w:val="20"/>
                <w:lang w:eastAsia="pl-PL"/>
              </w:rPr>
              <w:t xml:space="preserve"> </w:t>
            </w:r>
            <w:proofErr w:type="spellStart"/>
            <w:r w:rsidRPr="008F209B">
              <w:rPr>
                <w:rFonts w:cs="Calibri"/>
                <w:bCs/>
                <w:i/>
                <w:sz w:val="20"/>
                <w:szCs w:val="20"/>
                <w:lang w:eastAsia="pl-PL"/>
              </w:rPr>
              <w:t>indicator</w:t>
            </w:r>
            <w:proofErr w:type="spellEnd"/>
            <w:r w:rsidRPr="008F209B">
              <w:rPr>
                <w:rFonts w:cs="Calibri"/>
                <w:bCs/>
                <w:sz w:val="20"/>
                <w:szCs w:val="20"/>
                <w:lang w:eastAsia="pl-PL"/>
              </w:rPr>
              <w:t xml:space="preserve"> (CI), jak również należy do Wspólnej Listy Wskaźników Kluczowych (WLWK).</w:t>
            </w:r>
            <w:r w:rsidR="001469ED">
              <w:rPr>
                <w:rFonts w:cs="Calibri"/>
                <w:bCs/>
                <w:sz w:val="20"/>
                <w:szCs w:val="20"/>
                <w:lang w:eastAsia="pl-PL"/>
              </w:rPr>
              <w:t xml:space="preserve"> </w:t>
            </w:r>
            <w:r w:rsidRPr="008F209B">
              <w:rPr>
                <w:rFonts w:cs="Calibri"/>
                <w:bCs/>
                <w:sz w:val="20"/>
                <w:szCs w:val="20"/>
                <w:lang w:eastAsia="pl-PL"/>
              </w:rPr>
              <w:t xml:space="preserve">Źródłem wskaźników CI jest załącznik 1 do Rozporządzenia Parlamentu Europejskiego EFRR. </w:t>
            </w:r>
            <w:proofErr w:type="spellStart"/>
            <w:r w:rsidRPr="00840299">
              <w:rPr>
                <w:rFonts w:cs="Calibri"/>
                <w:bCs/>
                <w:sz w:val="20"/>
                <w:szCs w:val="20"/>
                <w:lang w:val="en-US" w:eastAsia="pl-PL"/>
              </w:rPr>
              <w:t>Dla</w:t>
            </w:r>
            <w:proofErr w:type="spellEnd"/>
            <w:r w:rsidRPr="00840299">
              <w:rPr>
                <w:rFonts w:cs="Calibri"/>
                <w:bCs/>
                <w:sz w:val="20"/>
                <w:szCs w:val="20"/>
                <w:lang w:val="en-US" w:eastAsia="pl-PL"/>
              </w:rPr>
              <w:t xml:space="preserve"> </w:t>
            </w:r>
            <w:proofErr w:type="spellStart"/>
            <w:r w:rsidRPr="00840299">
              <w:rPr>
                <w:rFonts w:cs="Calibri"/>
                <w:bCs/>
                <w:sz w:val="20"/>
                <w:szCs w:val="20"/>
                <w:lang w:val="en-US" w:eastAsia="pl-PL"/>
              </w:rPr>
              <w:t>definicji</w:t>
            </w:r>
            <w:proofErr w:type="spellEnd"/>
            <w:r w:rsidRPr="00840299">
              <w:rPr>
                <w:rFonts w:cs="Calibri"/>
                <w:bCs/>
                <w:sz w:val="20"/>
                <w:szCs w:val="20"/>
                <w:lang w:val="en-US" w:eastAsia="pl-PL"/>
              </w:rPr>
              <w:t xml:space="preserve"> </w:t>
            </w:r>
            <w:proofErr w:type="spellStart"/>
            <w:r w:rsidRPr="00840299">
              <w:rPr>
                <w:rFonts w:cs="Calibri"/>
                <w:bCs/>
                <w:sz w:val="20"/>
                <w:szCs w:val="20"/>
                <w:lang w:val="en-US" w:eastAsia="pl-PL"/>
              </w:rPr>
              <w:t>natomiast</w:t>
            </w:r>
            <w:proofErr w:type="spellEnd"/>
            <w:r w:rsidRPr="00840299">
              <w:rPr>
                <w:rFonts w:cs="Calibri"/>
                <w:bCs/>
                <w:sz w:val="20"/>
                <w:szCs w:val="20"/>
                <w:lang w:val="en-US" w:eastAsia="pl-PL"/>
              </w:rPr>
              <w:t xml:space="preserve"> </w:t>
            </w:r>
            <w:proofErr w:type="spellStart"/>
            <w:r w:rsidRPr="00840299">
              <w:rPr>
                <w:rFonts w:cs="Calibri"/>
                <w:bCs/>
                <w:sz w:val="20"/>
                <w:szCs w:val="20"/>
                <w:lang w:val="en-US" w:eastAsia="pl-PL"/>
              </w:rPr>
              <w:t>źródłem</w:t>
            </w:r>
            <w:proofErr w:type="spellEnd"/>
            <w:r w:rsidRPr="00840299">
              <w:rPr>
                <w:rFonts w:cs="Calibri"/>
                <w:bCs/>
                <w:sz w:val="20"/>
                <w:szCs w:val="20"/>
                <w:lang w:val="en-US" w:eastAsia="pl-PL"/>
              </w:rPr>
              <w:t xml:space="preserve"> jest </w:t>
            </w:r>
            <w:proofErr w:type="spellStart"/>
            <w:r w:rsidRPr="00840299">
              <w:rPr>
                <w:rFonts w:cs="Calibri"/>
                <w:bCs/>
                <w:sz w:val="20"/>
                <w:szCs w:val="20"/>
                <w:lang w:val="en-US" w:eastAsia="pl-PL"/>
              </w:rPr>
              <w:t>dokument</w:t>
            </w:r>
            <w:proofErr w:type="spellEnd"/>
            <w:r w:rsidRPr="00840299">
              <w:rPr>
                <w:rFonts w:cs="Calibri"/>
                <w:bCs/>
                <w:sz w:val="20"/>
                <w:szCs w:val="20"/>
                <w:lang w:val="en-US" w:eastAsia="pl-PL"/>
              </w:rPr>
              <w:t xml:space="preserve"> Guidance document on monitoring and evaluation – European Regional Development Fund and Cohesion Fund - Concepts and Recommendations (October 2013). </w:t>
            </w:r>
          </w:p>
          <w:p w:rsidR="00663896" w:rsidRPr="00840299" w:rsidRDefault="00663896" w:rsidP="00BB5A64">
            <w:pPr>
              <w:autoSpaceDE w:val="0"/>
              <w:autoSpaceDN w:val="0"/>
              <w:adjustRightInd w:val="0"/>
              <w:spacing w:after="0" w:line="240" w:lineRule="auto"/>
              <w:ind w:left="34"/>
              <w:jc w:val="both"/>
              <w:rPr>
                <w:rFonts w:cs="Calibri"/>
                <w:bCs/>
                <w:i/>
                <w:sz w:val="20"/>
                <w:szCs w:val="20"/>
                <w:lang w:val="en-US" w:eastAsia="pl-PL"/>
              </w:rPr>
            </w:pPr>
            <w:proofErr w:type="spellStart"/>
            <w:r w:rsidRPr="00840299">
              <w:rPr>
                <w:rFonts w:cs="Calibri"/>
                <w:bCs/>
                <w:sz w:val="20"/>
                <w:szCs w:val="20"/>
                <w:lang w:val="en-US" w:eastAsia="pl-PL"/>
              </w:rPr>
              <w:t>Zgodnie</w:t>
            </w:r>
            <w:proofErr w:type="spellEnd"/>
            <w:r w:rsidRPr="00840299">
              <w:rPr>
                <w:rFonts w:cs="Calibri"/>
                <w:bCs/>
                <w:sz w:val="20"/>
                <w:szCs w:val="20"/>
                <w:lang w:val="en-US" w:eastAsia="pl-PL"/>
              </w:rPr>
              <w:t xml:space="preserve"> z </w:t>
            </w:r>
            <w:proofErr w:type="spellStart"/>
            <w:r w:rsidRPr="00840299">
              <w:rPr>
                <w:rFonts w:cs="Calibri"/>
                <w:bCs/>
                <w:sz w:val="20"/>
                <w:szCs w:val="20"/>
                <w:lang w:val="en-US" w:eastAsia="pl-PL"/>
              </w:rPr>
              <w:t>tymi</w:t>
            </w:r>
            <w:proofErr w:type="spellEnd"/>
            <w:r w:rsidRPr="00840299">
              <w:rPr>
                <w:rFonts w:cs="Calibri"/>
                <w:bCs/>
                <w:sz w:val="20"/>
                <w:szCs w:val="20"/>
                <w:lang w:val="en-US" w:eastAsia="pl-PL"/>
              </w:rPr>
              <w:t xml:space="preserve"> </w:t>
            </w:r>
            <w:proofErr w:type="spellStart"/>
            <w:r w:rsidRPr="00840299">
              <w:rPr>
                <w:rFonts w:cs="Calibri"/>
                <w:bCs/>
                <w:sz w:val="20"/>
                <w:szCs w:val="20"/>
                <w:lang w:val="en-US" w:eastAsia="pl-PL"/>
              </w:rPr>
              <w:t>dokumentami</w:t>
            </w:r>
            <w:proofErr w:type="spellEnd"/>
            <w:r w:rsidRPr="00840299">
              <w:rPr>
                <w:rFonts w:cs="Calibri"/>
                <w:bCs/>
                <w:sz w:val="20"/>
                <w:szCs w:val="20"/>
                <w:lang w:val="en-US" w:eastAsia="pl-PL"/>
              </w:rPr>
              <w:t xml:space="preserve"> </w:t>
            </w:r>
            <w:proofErr w:type="spellStart"/>
            <w:r w:rsidRPr="00840299">
              <w:rPr>
                <w:rFonts w:cs="Calibri"/>
                <w:bCs/>
                <w:sz w:val="20"/>
                <w:szCs w:val="20"/>
                <w:lang w:val="en-US" w:eastAsia="pl-PL"/>
              </w:rPr>
              <w:t>wskaźnik</w:t>
            </w:r>
            <w:proofErr w:type="spellEnd"/>
            <w:r w:rsidRPr="00840299">
              <w:rPr>
                <w:rFonts w:cs="Calibri"/>
                <w:bCs/>
                <w:sz w:val="20"/>
                <w:szCs w:val="20"/>
                <w:lang w:val="en-US" w:eastAsia="pl-PL"/>
              </w:rPr>
              <w:t xml:space="preserve"> ten </w:t>
            </w:r>
            <w:proofErr w:type="spellStart"/>
            <w:r w:rsidRPr="00840299">
              <w:rPr>
                <w:rFonts w:cs="Calibri"/>
                <w:bCs/>
                <w:sz w:val="20"/>
                <w:szCs w:val="20"/>
                <w:lang w:val="en-US" w:eastAsia="pl-PL"/>
              </w:rPr>
              <w:t>nosi</w:t>
            </w:r>
            <w:proofErr w:type="spellEnd"/>
            <w:r w:rsidRPr="00840299">
              <w:rPr>
                <w:rFonts w:cs="Calibri"/>
                <w:bCs/>
                <w:sz w:val="20"/>
                <w:szCs w:val="20"/>
                <w:lang w:val="en-US" w:eastAsia="pl-PL"/>
              </w:rPr>
              <w:t xml:space="preserve"> </w:t>
            </w:r>
            <w:proofErr w:type="spellStart"/>
            <w:r w:rsidRPr="00840299">
              <w:rPr>
                <w:rFonts w:cs="Calibri"/>
                <w:bCs/>
                <w:sz w:val="20"/>
                <w:szCs w:val="20"/>
                <w:lang w:val="en-US" w:eastAsia="pl-PL"/>
              </w:rPr>
              <w:t>nazwę</w:t>
            </w:r>
            <w:proofErr w:type="spellEnd"/>
            <w:r w:rsidRPr="00840299">
              <w:rPr>
                <w:rFonts w:cs="Calibri"/>
                <w:bCs/>
                <w:sz w:val="20"/>
                <w:szCs w:val="20"/>
                <w:lang w:val="en-US" w:eastAsia="pl-PL"/>
              </w:rPr>
              <w:t xml:space="preserve">: </w:t>
            </w:r>
            <w:r w:rsidRPr="00840299">
              <w:rPr>
                <w:rFonts w:cs="Calibri"/>
                <w:bCs/>
                <w:i/>
                <w:sz w:val="20"/>
                <w:szCs w:val="20"/>
                <w:lang w:val="en-US" w:eastAsia="pl-PL"/>
              </w:rPr>
              <w:t xml:space="preserve">Additional households with broadband access of at least 30 Mbps.  </w:t>
            </w:r>
          </w:p>
          <w:p w:rsidR="00663896" w:rsidRPr="00840299" w:rsidRDefault="00663896" w:rsidP="00BB5A64">
            <w:pPr>
              <w:autoSpaceDE w:val="0"/>
              <w:autoSpaceDN w:val="0"/>
              <w:adjustRightInd w:val="0"/>
              <w:spacing w:after="0" w:line="240" w:lineRule="auto"/>
              <w:ind w:left="34"/>
              <w:jc w:val="both"/>
              <w:rPr>
                <w:rFonts w:cs="Calibri"/>
                <w:bCs/>
                <w:sz w:val="20"/>
                <w:szCs w:val="20"/>
                <w:lang w:val="en-US" w:eastAsia="pl-PL"/>
              </w:rPr>
            </w:pPr>
            <w:proofErr w:type="spellStart"/>
            <w:r w:rsidRPr="00840299">
              <w:rPr>
                <w:rFonts w:cs="Calibri"/>
                <w:bCs/>
                <w:i/>
                <w:sz w:val="20"/>
                <w:szCs w:val="20"/>
                <w:lang w:val="en-US" w:eastAsia="pl-PL"/>
              </w:rPr>
              <w:t>Definicja</w:t>
            </w:r>
            <w:proofErr w:type="spellEnd"/>
            <w:r w:rsidRPr="00840299">
              <w:rPr>
                <w:rFonts w:cs="Calibri"/>
                <w:bCs/>
                <w:i/>
                <w:sz w:val="20"/>
                <w:szCs w:val="20"/>
                <w:lang w:val="en-US" w:eastAsia="pl-PL"/>
              </w:rPr>
              <w:t xml:space="preserve"> </w:t>
            </w:r>
            <w:proofErr w:type="spellStart"/>
            <w:r w:rsidRPr="00840299">
              <w:rPr>
                <w:rFonts w:cs="Calibri"/>
                <w:bCs/>
                <w:i/>
                <w:sz w:val="20"/>
                <w:szCs w:val="20"/>
                <w:lang w:val="en-US" w:eastAsia="pl-PL"/>
              </w:rPr>
              <w:t>tego</w:t>
            </w:r>
            <w:proofErr w:type="spellEnd"/>
            <w:r w:rsidRPr="00840299">
              <w:rPr>
                <w:rFonts w:cs="Calibri"/>
                <w:bCs/>
                <w:i/>
                <w:sz w:val="20"/>
                <w:szCs w:val="20"/>
                <w:lang w:val="en-US" w:eastAsia="pl-PL"/>
              </w:rPr>
              <w:t xml:space="preserve"> </w:t>
            </w:r>
            <w:proofErr w:type="spellStart"/>
            <w:r w:rsidRPr="00840299">
              <w:rPr>
                <w:rFonts w:cs="Calibri"/>
                <w:bCs/>
                <w:i/>
                <w:sz w:val="20"/>
                <w:szCs w:val="20"/>
                <w:lang w:val="en-US" w:eastAsia="pl-PL"/>
              </w:rPr>
              <w:t>wskaźnika</w:t>
            </w:r>
            <w:proofErr w:type="spellEnd"/>
            <w:r w:rsidRPr="00840299">
              <w:rPr>
                <w:rFonts w:cs="Calibri"/>
                <w:bCs/>
                <w:i/>
                <w:sz w:val="20"/>
                <w:szCs w:val="20"/>
                <w:lang w:val="en-US" w:eastAsia="pl-PL"/>
              </w:rPr>
              <w:t xml:space="preserve"> jest </w:t>
            </w:r>
            <w:proofErr w:type="spellStart"/>
            <w:r w:rsidRPr="00840299">
              <w:rPr>
                <w:rFonts w:cs="Calibri"/>
                <w:bCs/>
                <w:i/>
                <w:sz w:val="20"/>
                <w:szCs w:val="20"/>
                <w:lang w:val="en-US" w:eastAsia="pl-PL"/>
              </w:rPr>
              <w:t>następująca</w:t>
            </w:r>
            <w:proofErr w:type="spellEnd"/>
            <w:r w:rsidRPr="00840299">
              <w:rPr>
                <w:rFonts w:cs="Calibri"/>
                <w:bCs/>
                <w:i/>
                <w:sz w:val="20"/>
                <w:szCs w:val="20"/>
                <w:lang w:val="en-US" w:eastAsia="pl-PL"/>
              </w:rPr>
              <w:t>: Number of households with internet access with a download speed of at least 30 Mb/sec and who before only had more limited access or did not have access at all. The capacity to access must be a direct consequence of the support. The indicator measures households with the possibility to access, not whether the people living in the households actually choose to be connected or not. 30 Mbps is in line with EU2020, see COM(2010)245 "A digital agenda for Europe".</w:t>
            </w:r>
            <w:r w:rsidRPr="00840299">
              <w:rPr>
                <w:rFonts w:cs="Calibri"/>
                <w:bCs/>
                <w:sz w:val="20"/>
                <w:szCs w:val="20"/>
                <w:lang w:val="en-US" w:eastAsia="pl-PL"/>
              </w:rPr>
              <w:t xml:space="preserve"> </w:t>
            </w:r>
          </w:p>
          <w:p w:rsidR="00663896" w:rsidRDefault="00663896" w:rsidP="00BB5A64">
            <w:pPr>
              <w:autoSpaceDE w:val="0"/>
              <w:autoSpaceDN w:val="0"/>
              <w:adjustRightInd w:val="0"/>
              <w:spacing w:before="120" w:after="120" w:line="240" w:lineRule="auto"/>
              <w:jc w:val="both"/>
              <w:rPr>
                <w:rFonts w:cs="Calibri"/>
                <w:bCs/>
                <w:i/>
                <w:sz w:val="20"/>
                <w:szCs w:val="20"/>
                <w:lang w:eastAsia="pl-PL"/>
              </w:rPr>
            </w:pPr>
            <w:r w:rsidRPr="008F209B">
              <w:rPr>
                <w:rFonts w:cs="Calibri"/>
                <w:bCs/>
                <w:sz w:val="20"/>
                <w:szCs w:val="20"/>
                <w:lang w:eastAsia="pl-PL"/>
              </w:rPr>
              <w:t>Z kolei definicji tego wskaźnika w wykazie WLWK nie ma z uwagi na fakt, że istnieje definicja KE. Jednakże mając na uwadze fakt, że w WLWK są podobne wskaźniki</w:t>
            </w:r>
            <w:r w:rsidRPr="008F209B">
              <w:rPr>
                <w:rStyle w:val="Odwoanieprzypisudolnego"/>
                <w:rFonts w:cs="Calibri"/>
                <w:bCs/>
                <w:sz w:val="20"/>
                <w:szCs w:val="20"/>
                <w:lang w:eastAsia="pl-PL"/>
              </w:rPr>
              <w:footnoteReference w:id="5"/>
            </w:r>
            <w:r w:rsidRPr="008F209B">
              <w:rPr>
                <w:rFonts w:cs="Calibri"/>
                <w:bCs/>
                <w:sz w:val="20"/>
                <w:szCs w:val="20"/>
                <w:lang w:eastAsia="pl-PL"/>
              </w:rPr>
              <w:t>, które uszcze</w:t>
            </w:r>
            <w:r w:rsidR="00387706">
              <w:rPr>
                <w:rFonts w:cs="Calibri"/>
                <w:bCs/>
                <w:sz w:val="20"/>
                <w:szCs w:val="20"/>
                <w:lang w:eastAsia="pl-PL"/>
              </w:rPr>
              <w:t>gółowiają przedmiotowy wskaźnik</w:t>
            </w:r>
            <w:r w:rsidRPr="008F209B">
              <w:rPr>
                <w:rFonts w:cs="Calibri"/>
                <w:bCs/>
                <w:sz w:val="20"/>
                <w:szCs w:val="20"/>
                <w:lang w:eastAsia="pl-PL"/>
              </w:rPr>
              <w:t xml:space="preserve"> można zaproponować takie wyjaśnienie wskaźnika: </w:t>
            </w:r>
            <w:r w:rsidRPr="008F209B">
              <w:rPr>
                <w:rFonts w:cs="Calibri"/>
                <w:bCs/>
                <w:i/>
                <w:sz w:val="20"/>
                <w:szCs w:val="20"/>
                <w:lang w:eastAsia="pl-PL"/>
              </w:rPr>
              <w:t xml:space="preserve">Wskaźnik dotyczy gospodarstw domowych z fizyczną możliwością dostępu, bez względu na to, czy osoby zamieszkujące zdecydowały się na zakup </w:t>
            </w:r>
            <w:r>
              <w:rPr>
                <w:rFonts w:cs="Calibri"/>
                <w:bCs/>
                <w:i/>
                <w:sz w:val="20"/>
                <w:szCs w:val="20"/>
                <w:lang w:eastAsia="pl-PL"/>
              </w:rPr>
              <w:t xml:space="preserve">usługi </w:t>
            </w:r>
            <w:r w:rsidRPr="008F209B">
              <w:rPr>
                <w:rFonts w:cs="Calibri"/>
                <w:bCs/>
                <w:i/>
                <w:sz w:val="20"/>
                <w:szCs w:val="20"/>
                <w:lang w:eastAsia="pl-PL"/>
              </w:rPr>
              <w:t>dostęp</w:t>
            </w:r>
            <w:r>
              <w:rPr>
                <w:rFonts w:cs="Calibri"/>
                <w:bCs/>
                <w:i/>
                <w:sz w:val="20"/>
                <w:szCs w:val="20"/>
                <w:lang w:eastAsia="pl-PL"/>
              </w:rPr>
              <w:t>u</w:t>
            </w:r>
            <w:r w:rsidR="00387706">
              <w:rPr>
                <w:rFonts w:cs="Calibri"/>
                <w:bCs/>
                <w:i/>
                <w:sz w:val="20"/>
                <w:szCs w:val="20"/>
                <w:lang w:eastAsia="pl-PL"/>
              </w:rPr>
              <w:t xml:space="preserve"> do I</w:t>
            </w:r>
            <w:r w:rsidRPr="008F209B">
              <w:rPr>
                <w:rFonts w:cs="Calibri"/>
                <w:bCs/>
                <w:i/>
                <w:sz w:val="20"/>
                <w:szCs w:val="20"/>
                <w:lang w:eastAsia="pl-PL"/>
              </w:rPr>
              <w:t>nternetu o danej przepustowości, czy też nie. Wskaźnik obejmuje liczbę gospodarstw domowych z</w:t>
            </w:r>
            <w:r>
              <w:rPr>
                <w:rFonts w:cs="Calibri"/>
                <w:bCs/>
                <w:i/>
                <w:sz w:val="20"/>
                <w:szCs w:val="20"/>
                <w:lang w:eastAsia="pl-PL"/>
              </w:rPr>
              <w:t> </w:t>
            </w:r>
            <w:r w:rsidRPr="008F209B">
              <w:rPr>
                <w:rFonts w:cs="Calibri"/>
                <w:bCs/>
                <w:i/>
                <w:sz w:val="20"/>
                <w:szCs w:val="20"/>
                <w:lang w:eastAsia="pl-PL"/>
              </w:rPr>
              <w:t xml:space="preserve">możliwością dostępu do </w:t>
            </w:r>
            <w:r w:rsidR="00387706">
              <w:rPr>
                <w:rFonts w:cs="Calibri"/>
                <w:bCs/>
                <w:i/>
                <w:sz w:val="20"/>
                <w:szCs w:val="20"/>
                <w:lang w:eastAsia="pl-PL"/>
              </w:rPr>
              <w:t>I</w:t>
            </w:r>
            <w:r w:rsidRPr="008F209B">
              <w:rPr>
                <w:rFonts w:cs="Calibri"/>
                <w:bCs/>
                <w:i/>
                <w:sz w:val="20"/>
                <w:szCs w:val="20"/>
                <w:lang w:eastAsia="pl-PL"/>
              </w:rPr>
              <w:t xml:space="preserve">nternetu o przepustowości, co najmniej 30 </w:t>
            </w:r>
            <w:proofErr w:type="spellStart"/>
            <w:r w:rsidRPr="008F209B">
              <w:rPr>
                <w:rFonts w:cs="Calibri"/>
                <w:bCs/>
                <w:i/>
                <w:sz w:val="20"/>
                <w:szCs w:val="20"/>
                <w:lang w:eastAsia="pl-PL"/>
              </w:rPr>
              <w:t>Mb</w:t>
            </w:r>
            <w:proofErr w:type="spellEnd"/>
            <w:r w:rsidRPr="008F209B">
              <w:rPr>
                <w:rFonts w:cs="Calibri"/>
                <w:bCs/>
                <w:i/>
                <w:sz w:val="20"/>
                <w:szCs w:val="20"/>
                <w:lang w:eastAsia="pl-PL"/>
              </w:rPr>
              <w:t>/s.</w:t>
            </w:r>
            <w:r w:rsidR="00640292">
              <w:rPr>
                <w:rFonts w:cs="Calibri"/>
                <w:bCs/>
                <w:i/>
                <w:sz w:val="20"/>
                <w:szCs w:val="20"/>
                <w:lang w:eastAsia="pl-PL"/>
              </w:rPr>
              <w:t>,</w:t>
            </w:r>
            <w:r w:rsidRPr="008F209B">
              <w:rPr>
                <w:rFonts w:cs="Calibri"/>
                <w:bCs/>
                <w:i/>
                <w:sz w:val="20"/>
                <w:szCs w:val="20"/>
                <w:lang w:eastAsia="pl-PL"/>
              </w:rPr>
              <w:t xml:space="preserve"> które do tej pory nie miały dostępu do sieci lub miały dostęp o przepustowości poniżej 30 </w:t>
            </w:r>
            <w:proofErr w:type="spellStart"/>
            <w:r w:rsidRPr="008F209B">
              <w:rPr>
                <w:rFonts w:cs="Calibri"/>
                <w:bCs/>
                <w:i/>
                <w:sz w:val="20"/>
                <w:szCs w:val="20"/>
                <w:lang w:eastAsia="pl-PL"/>
              </w:rPr>
              <w:t>Mb</w:t>
            </w:r>
            <w:proofErr w:type="spellEnd"/>
            <w:r w:rsidRPr="008F209B">
              <w:rPr>
                <w:rFonts w:cs="Calibri"/>
                <w:bCs/>
                <w:i/>
                <w:sz w:val="20"/>
                <w:szCs w:val="20"/>
                <w:lang w:eastAsia="pl-PL"/>
              </w:rPr>
              <w:t xml:space="preserve">/s. </w:t>
            </w:r>
            <w:r>
              <w:rPr>
                <w:rFonts w:cs="Calibri"/>
                <w:bCs/>
                <w:i/>
                <w:sz w:val="20"/>
                <w:szCs w:val="20"/>
                <w:lang w:eastAsia="pl-PL"/>
              </w:rPr>
              <w:t>Konsekwencją wsparcia powinna być możliwość uzyskania dostępu do</w:t>
            </w:r>
            <w:r w:rsidR="00387706">
              <w:rPr>
                <w:rFonts w:cs="Calibri"/>
                <w:bCs/>
                <w:i/>
                <w:sz w:val="20"/>
                <w:szCs w:val="20"/>
                <w:lang w:eastAsia="pl-PL"/>
              </w:rPr>
              <w:t xml:space="preserve"> I</w:t>
            </w:r>
            <w:r>
              <w:rPr>
                <w:rFonts w:cs="Calibri"/>
                <w:bCs/>
                <w:i/>
                <w:sz w:val="20"/>
                <w:szCs w:val="20"/>
                <w:lang w:eastAsia="pl-PL"/>
              </w:rPr>
              <w:t>nternetu.</w:t>
            </w:r>
          </w:p>
          <w:p w:rsidR="00C1359C" w:rsidRPr="00DD7E68" w:rsidRDefault="00C1359C" w:rsidP="00BB5A64">
            <w:pPr>
              <w:autoSpaceDE w:val="0"/>
              <w:autoSpaceDN w:val="0"/>
              <w:adjustRightInd w:val="0"/>
              <w:spacing w:before="120" w:after="120" w:line="240" w:lineRule="auto"/>
              <w:jc w:val="both"/>
              <w:rPr>
                <w:rFonts w:cs="Calibri"/>
                <w:bCs/>
                <w:sz w:val="20"/>
                <w:szCs w:val="20"/>
                <w:u w:val="single"/>
                <w:lang w:eastAsia="pl-PL"/>
              </w:rPr>
            </w:pPr>
            <w:r>
              <w:rPr>
                <w:rFonts w:cs="Calibri"/>
                <w:bCs/>
                <w:sz w:val="20"/>
                <w:szCs w:val="20"/>
                <w:u w:val="single"/>
                <w:lang w:eastAsia="pl-PL"/>
              </w:rPr>
              <w:t>Metodologia</w:t>
            </w:r>
            <w:r w:rsidRPr="00C37E1E">
              <w:rPr>
                <w:rFonts w:cs="Calibri"/>
                <w:bCs/>
                <w:sz w:val="20"/>
                <w:szCs w:val="20"/>
                <w:u w:val="single"/>
                <w:lang w:eastAsia="pl-PL"/>
              </w:rPr>
              <w:t xml:space="preserve"> wskaźnika:</w:t>
            </w:r>
          </w:p>
          <w:p w:rsidR="0043575D" w:rsidRPr="00CC3C1B" w:rsidRDefault="0043575D" w:rsidP="00BB5A64">
            <w:pPr>
              <w:autoSpaceDE w:val="0"/>
              <w:autoSpaceDN w:val="0"/>
              <w:adjustRightInd w:val="0"/>
              <w:spacing w:before="120" w:after="120" w:line="240" w:lineRule="auto"/>
              <w:jc w:val="both"/>
              <w:rPr>
                <w:rFonts w:cs="Calibri"/>
                <w:bCs/>
                <w:color w:val="000000"/>
                <w:sz w:val="20"/>
                <w:szCs w:val="20"/>
                <w:lang w:eastAsia="pl-PL"/>
              </w:rPr>
            </w:pPr>
            <w:r w:rsidRPr="00CC3C1B">
              <w:rPr>
                <w:rFonts w:cs="Calibri"/>
                <w:bCs/>
                <w:color w:val="000000"/>
                <w:sz w:val="20"/>
                <w:szCs w:val="20"/>
                <w:lang w:eastAsia="pl-PL"/>
              </w:rPr>
              <w:t xml:space="preserve">Przy szacowaniu wartości wykorzystano wartości kosztów jednostkowych zgodnie z ekspertyzą - </w:t>
            </w:r>
            <w:r w:rsidRPr="00CC3C1B">
              <w:rPr>
                <w:rFonts w:cs="Calibri"/>
                <w:bCs/>
                <w:i/>
                <w:color w:val="000000"/>
                <w:sz w:val="20"/>
                <w:szCs w:val="20"/>
                <w:lang w:eastAsia="pl-PL"/>
              </w:rPr>
              <w:t>Estymacja dotycząca budowy infrastruktury telekomunikacyjnej zapewniającej szerokopasmowy dostęp do Internetu, spełniającej wymagania Europejskiej Agendy Cyfrowej (EAC) w Polsce do roku 2020 na podstawie aktualnego stanu rozwoju infrastruktury telekomunikacyjnej: Obszary, koszty, technologie i najbardziej efektywne sposoby interwencji publicznej</w:t>
            </w:r>
            <w:r w:rsidRPr="00CC3C1B">
              <w:rPr>
                <w:rStyle w:val="Odwoanieprzypisudolnego"/>
                <w:rFonts w:cs="Calibri"/>
                <w:bCs/>
                <w:color w:val="000000"/>
                <w:sz w:val="20"/>
                <w:szCs w:val="20"/>
                <w:lang w:eastAsia="pl-PL"/>
              </w:rPr>
              <w:footnoteReference w:id="6"/>
            </w:r>
            <w:r w:rsidRPr="00CC3C1B">
              <w:rPr>
                <w:rFonts w:cs="Calibri"/>
                <w:bCs/>
                <w:i/>
                <w:color w:val="000000"/>
                <w:sz w:val="20"/>
                <w:szCs w:val="20"/>
                <w:lang w:eastAsia="pl-PL"/>
              </w:rPr>
              <w:t>.</w:t>
            </w:r>
            <w:r w:rsidRPr="00CC3C1B">
              <w:rPr>
                <w:rFonts w:cs="Calibri"/>
                <w:bCs/>
                <w:color w:val="000000"/>
                <w:sz w:val="20"/>
                <w:szCs w:val="20"/>
                <w:lang w:eastAsia="pl-PL"/>
              </w:rPr>
              <w:t xml:space="preserve"> </w:t>
            </w:r>
            <w:r>
              <w:rPr>
                <w:rFonts w:cs="Calibri"/>
                <w:bCs/>
                <w:color w:val="000000"/>
                <w:sz w:val="20"/>
                <w:szCs w:val="20"/>
                <w:lang w:eastAsia="pl-PL"/>
              </w:rPr>
              <w:t xml:space="preserve">Ekspertyza została przygotowana w oparciu o analizę aktualnego stanu rozwoju infrastruktury telekomunikacyjnej oraz prognozy jej rozwoju, a także w oparciu o dane demograficzne, techniczne i ekonomiczne. </w:t>
            </w:r>
            <w:r w:rsidRPr="00CC3C1B">
              <w:rPr>
                <w:rFonts w:cs="Calibri"/>
                <w:bCs/>
                <w:color w:val="000000"/>
                <w:sz w:val="20"/>
                <w:szCs w:val="20"/>
                <w:lang w:eastAsia="pl-PL"/>
              </w:rPr>
              <w:t xml:space="preserve">W analizie wyróżniono 11 kategorii gmin ze względu na poziom nakładów niezbędnych dla podłączenia do </w:t>
            </w:r>
            <w:r w:rsidR="00F27E29">
              <w:rPr>
                <w:rFonts w:cs="Calibri"/>
                <w:bCs/>
                <w:color w:val="000000"/>
                <w:sz w:val="20"/>
                <w:szCs w:val="20"/>
                <w:lang w:eastAsia="pl-PL"/>
              </w:rPr>
              <w:t>I</w:t>
            </w:r>
            <w:r w:rsidRPr="00CC3C1B">
              <w:rPr>
                <w:rFonts w:cs="Calibri"/>
                <w:bCs/>
                <w:color w:val="000000"/>
                <w:sz w:val="20"/>
                <w:szCs w:val="20"/>
                <w:lang w:eastAsia="pl-PL"/>
              </w:rPr>
              <w:t xml:space="preserve">nternetu jednego gospodarstwa domowego – patrz tab. </w:t>
            </w:r>
            <w:r w:rsidR="002D33C8">
              <w:rPr>
                <w:rFonts w:cs="Calibri"/>
                <w:bCs/>
                <w:color w:val="000000"/>
                <w:sz w:val="20"/>
                <w:szCs w:val="20"/>
                <w:lang w:eastAsia="pl-PL"/>
              </w:rPr>
              <w:t>5</w:t>
            </w:r>
            <w:r w:rsidRPr="00CC3C1B">
              <w:rPr>
                <w:rFonts w:cs="Calibri"/>
                <w:bCs/>
                <w:color w:val="000000"/>
                <w:sz w:val="20"/>
                <w:szCs w:val="20"/>
                <w:lang w:eastAsia="pl-PL"/>
              </w:rPr>
              <w:t xml:space="preserve">. </w:t>
            </w:r>
            <w:r>
              <w:rPr>
                <w:rFonts w:cs="Calibri"/>
                <w:bCs/>
                <w:color w:val="000000"/>
                <w:sz w:val="20"/>
                <w:szCs w:val="20"/>
                <w:lang w:eastAsia="pl-PL"/>
              </w:rPr>
              <w:t>W</w:t>
            </w:r>
            <w:r w:rsidRPr="00CC3C1B">
              <w:rPr>
                <w:rFonts w:cs="Calibri"/>
                <w:bCs/>
                <w:color w:val="000000"/>
                <w:sz w:val="20"/>
                <w:szCs w:val="20"/>
                <w:lang w:eastAsia="pl-PL"/>
              </w:rPr>
              <w:t>skazano również,</w:t>
            </w:r>
            <w:r w:rsidRPr="00CC3C1B">
              <w:rPr>
                <w:rFonts w:cs="Calibri"/>
                <w:bCs/>
                <w:i/>
                <w:color w:val="000000"/>
                <w:sz w:val="20"/>
                <w:szCs w:val="20"/>
                <w:lang w:eastAsia="pl-PL"/>
              </w:rPr>
              <w:t xml:space="preserve"> </w:t>
            </w:r>
            <w:r w:rsidRPr="00CC3C1B">
              <w:rPr>
                <w:rFonts w:cs="Calibri"/>
                <w:bCs/>
                <w:color w:val="000000"/>
                <w:sz w:val="20"/>
                <w:szCs w:val="20"/>
                <w:lang w:eastAsia="pl-PL"/>
              </w:rPr>
              <w:t xml:space="preserve">że średni nakład inwestycyjny związany z tworzeniem infrastruktury szerokopasmowej, jaki jest gotowy ponieść operator w celu przyłączenia jednego abonenta do sieci waha się w granicach 2900-3600 </w:t>
            </w:r>
            <w:r>
              <w:rPr>
                <w:rFonts w:cs="Calibri"/>
                <w:bCs/>
                <w:color w:val="000000"/>
                <w:sz w:val="20"/>
                <w:szCs w:val="20"/>
                <w:lang w:eastAsia="pl-PL"/>
              </w:rPr>
              <w:t>PLN</w:t>
            </w:r>
            <w:r w:rsidRPr="00CC3C1B">
              <w:rPr>
                <w:rFonts w:cs="Calibri"/>
                <w:bCs/>
                <w:color w:val="000000"/>
                <w:sz w:val="20"/>
                <w:szCs w:val="20"/>
                <w:lang w:eastAsia="pl-PL"/>
              </w:rPr>
              <w:t xml:space="preserve">. </w:t>
            </w:r>
          </w:p>
          <w:p w:rsidR="0043575D" w:rsidRPr="00CC3C1B" w:rsidRDefault="0043575D" w:rsidP="00BB5A64">
            <w:pPr>
              <w:autoSpaceDE w:val="0"/>
              <w:autoSpaceDN w:val="0"/>
              <w:adjustRightInd w:val="0"/>
              <w:spacing w:before="120" w:after="120" w:line="240" w:lineRule="auto"/>
              <w:jc w:val="both"/>
              <w:rPr>
                <w:rFonts w:cs="Calibri"/>
                <w:bCs/>
                <w:color w:val="000000"/>
                <w:sz w:val="20"/>
                <w:szCs w:val="20"/>
                <w:lang w:eastAsia="pl-PL"/>
              </w:rPr>
            </w:pPr>
            <w:r w:rsidRPr="00CC3C1B">
              <w:rPr>
                <w:rFonts w:cs="Calibri"/>
                <w:bCs/>
                <w:color w:val="000000"/>
                <w:sz w:val="20"/>
                <w:szCs w:val="20"/>
                <w:lang w:eastAsia="pl-PL"/>
              </w:rPr>
              <w:t>Dla wszystkich gmin jako główny wskaźnik przyjęto średni poziom niezbędnych nakładów inwestycyjnych na gospodarstwo domowe. Według tej wielkości podzielono gminy na 11 kategorii, które można zakwalifikować do trzech obszarów:</w:t>
            </w:r>
          </w:p>
          <w:p w:rsidR="0043575D" w:rsidRPr="00CC3C1B" w:rsidRDefault="0043575D" w:rsidP="00BB5A64">
            <w:pPr>
              <w:numPr>
                <w:ilvl w:val="0"/>
                <w:numId w:val="4"/>
              </w:numPr>
              <w:autoSpaceDE w:val="0"/>
              <w:autoSpaceDN w:val="0"/>
              <w:adjustRightInd w:val="0"/>
              <w:spacing w:after="0" w:line="240" w:lineRule="auto"/>
              <w:ind w:left="714" w:hanging="357"/>
              <w:jc w:val="both"/>
              <w:rPr>
                <w:rFonts w:cs="Calibri"/>
                <w:bCs/>
                <w:color w:val="000000"/>
                <w:sz w:val="20"/>
                <w:szCs w:val="20"/>
                <w:lang w:eastAsia="pl-PL"/>
              </w:rPr>
            </w:pPr>
            <w:r w:rsidRPr="00CC3C1B">
              <w:rPr>
                <w:rFonts w:cs="Calibri"/>
                <w:bCs/>
                <w:color w:val="000000"/>
                <w:sz w:val="20"/>
                <w:szCs w:val="20"/>
                <w:lang w:eastAsia="pl-PL"/>
              </w:rPr>
              <w:t>Obszary atrakcyjne komercyjnie, dla których nie jest potrzebne żadne wsparcie,</w:t>
            </w:r>
          </w:p>
          <w:p w:rsidR="0043575D" w:rsidRPr="00CC3C1B" w:rsidRDefault="0043575D" w:rsidP="00BB5A64">
            <w:pPr>
              <w:numPr>
                <w:ilvl w:val="0"/>
                <w:numId w:val="4"/>
              </w:numPr>
              <w:autoSpaceDE w:val="0"/>
              <w:autoSpaceDN w:val="0"/>
              <w:adjustRightInd w:val="0"/>
              <w:spacing w:after="0" w:line="240" w:lineRule="auto"/>
              <w:ind w:left="714" w:hanging="357"/>
              <w:jc w:val="both"/>
              <w:rPr>
                <w:rFonts w:cs="Calibri"/>
                <w:bCs/>
                <w:color w:val="000000"/>
                <w:sz w:val="20"/>
                <w:szCs w:val="20"/>
                <w:lang w:eastAsia="pl-PL"/>
              </w:rPr>
            </w:pPr>
            <w:r w:rsidRPr="00CC3C1B">
              <w:rPr>
                <w:rFonts w:cs="Calibri"/>
                <w:bCs/>
                <w:color w:val="000000"/>
                <w:sz w:val="20"/>
                <w:szCs w:val="20"/>
                <w:lang w:eastAsia="pl-PL"/>
              </w:rPr>
              <w:t>Obszary nieopłacalne inwestycyjnie, ale które po dofinansowaniu inwestycji przynoszą dodatnie przepływy finansowe</w:t>
            </w:r>
            <w:r>
              <w:rPr>
                <w:rFonts w:cs="Calibri"/>
                <w:bCs/>
                <w:color w:val="000000"/>
                <w:sz w:val="20"/>
                <w:szCs w:val="20"/>
                <w:lang w:eastAsia="pl-PL"/>
              </w:rPr>
              <w:t>,</w:t>
            </w:r>
          </w:p>
          <w:p w:rsidR="0043575D" w:rsidRPr="00CC3C1B" w:rsidRDefault="0043575D" w:rsidP="00BB5A64">
            <w:pPr>
              <w:numPr>
                <w:ilvl w:val="0"/>
                <w:numId w:val="4"/>
              </w:numPr>
              <w:autoSpaceDE w:val="0"/>
              <w:autoSpaceDN w:val="0"/>
              <w:adjustRightInd w:val="0"/>
              <w:spacing w:after="0" w:line="240" w:lineRule="auto"/>
              <w:ind w:left="714" w:hanging="357"/>
              <w:jc w:val="both"/>
              <w:rPr>
                <w:rFonts w:cs="Calibri"/>
                <w:bCs/>
                <w:color w:val="000000"/>
                <w:sz w:val="20"/>
                <w:szCs w:val="20"/>
                <w:lang w:eastAsia="pl-PL"/>
              </w:rPr>
            </w:pPr>
            <w:r w:rsidRPr="00CC3C1B">
              <w:rPr>
                <w:rFonts w:cs="Calibri"/>
                <w:bCs/>
                <w:color w:val="000000"/>
                <w:sz w:val="20"/>
                <w:szCs w:val="20"/>
                <w:lang w:eastAsia="pl-PL"/>
              </w:rPr>
              <w:t>Obszary</w:t>
            </w:r>
            <w:r>
              <w:rPr>
                <w:rFonts w:cs="Calibri"/>
                <w:bCs/>
                <w:color w:val="000000"/>
                <w:sz w:val="20"/>
                <w:szCs w:val="20"/>
                <w:lang w:eastAsia="pl-PL"/>
              </w:rPr>
              <w:t>,</w:t>
            </w:r>
            <w:r w:rsidRPr="00CC3C1B">
              <w:rPr>
                <w:rFonts w:cs="Calibri"/>
                <w:bCs/>
                <w:color w:val="000000"/>
                <w:sz w:val="20"/>
                <w:szCs w:val="20"/>
                <w:lang w:eastAsia="pl-PL"/>
              </w:rPr>
              <w:t xml:space="preserve"> które są deficytowe również </w:t>
            </w:r>
            <w:r w:rsidR="00443F55">
              <w:rPr>
                <w:rFonts w:cs="Calibri"/>
                <w:bCs/>
                <w:color w:val="000000"/>
                <w:sz w:val="20"/>
                <w:szCs w:val="20"/>
                <w:lang w:eastAsia="pl-PL"/>
              </w:rPr>
              <w:t>po uzyskaniu dofinansowania</w:t>
            </w:r>
            <w:r w:rsidRPr="00CC3C1B">
              <w:rPr>
                <w:rFonts w:cs="Calibri"/>
                <w:bCs/>
                <w:color w:val="000000"/>
                <w:sz w:val="20"/>
                <w:szCs w:val="20"/>
                <w:lang w:eastAsia="pl-PL"/>
              </w:rPr>
              <w:t>.</w:t>
            </w:r>
          </w:p>
          <w:p w:rsidR="002D3108" w:rsidRDefault="002D3108" w:rsidP="00BB5A64">
            <w:pPr>
              <w:autoSpaceDE w:val="0"/>
              <w:autoSpaceDN w:val="0"/>
              <w:adjustRightInd w:val="0"/>
              <w:spacing w:before="120" w:after="120" w:line="240" w:lineRule="auto"/>
              <w:jc w:val="both"/>
              <w:rPr>
                <w:rFonts w:cs="Calibri"/>
                <w:bCs/>
                <w:color w:val="000000"/>
                <w:sz w:val="20"/>
                <w:szCs w:val="20"/>
                <w:lang w:eastAsia="pl-PL"/>
              </w:rPr>
            </w:pPr>
          </w:p>
          <w:p w:rsidR="0075352C" w:rsidRPr="005A36AC" w:rsidRDefault="0075352C" w:rsidP="00BB5A64">
            <w:pPr>
              <w:pStyle w:val="Legenda"/>
              <w:keepNext/>
            </w:pPr>
            <w:bookmarkStart w:id="10" w:name="_Toc401826758"/>
            <w:r w:rsidRPr="005A36AC">
              <w:lastRenderedPageBreak/>
              <w:t xml:space="preserve">Tabela </w:t>
            </w:r>
            <w:r w:rsidR="00050B55">
              <w:fldChar w:fldCharType="begin"/>
            </w:r>
            <w:r w:rsidR="00050B55">
              <w:instrText xml:space="preserve"> SEQ Tabela \* ARABIC </w:instrText>
            </w:r>
            <w:r w:rsidR="00050B55">
              <w:fldChar w:fldCharType="separate"/>
            </w:r>
            <w:r w:rsidR="002570DE">
              <w:rPr>
                <w:noProof/>
              </w:rPr>
              <w:t>5</w:t>
            </w:r>
            <w:r w:rsidR="00050B55">
              <w:rPr>
                <w:noProof/>
              </w:rPr>
              <w:fldChar w:fldCharType="end"/>
            </w:r>
            <w:r w:rsidRPr="005A36AC">
              <w:t xml:space="preserve"> - Nakłady niezbędne dla podłączenia do Internetu jednego gospodarstwa domowego</w:t>
            </w:r>
            <w:bookmarkEnd w:id="10"/>
          </w:p>
          <w:tbl>
            <w:tblPr>
              <w:tblW w:w="3460" w:type="dxa"/>
              <w:jc w:val="center"/>
              <w:tblCellMar>
                <w:left w:w="70" w:type="dxa"/>
                <w:right w:w="70" w:type="dxa"/>
              </w:tblCellMar>
              <w:tblLook w:val="04A0" w:firstRow="1" w:lastRow="0" w:firstColumn="1" w:lastColumn="0" w:noHBand="0" w:noVBand="1"/>
            </w:tblPr>
            <w:tblGrid>
              <w:gridCol w:w="1100"/>
              <w:gridCol w:w="2360"/>
            </w:tblGrid>
            <w:tr w:rsidR="0043575D" w:rsidRPr="00CC3C1B" w:rsidTr="00977ACF">
              <w:trPr>
                <w:trHeight w:val="1065"/>
                <w:jc w:val="center"/>
              </w:trPr>
              <w:tc>
                <w:tcPr>
                  <w:tcW w:w="1100" w:type="dxa"/>
                  <w:tcBorders>
                    <w:top w:val="double" w:sz="6" w:space="0" w:color="3F3F3F"/>
                    <w:left w:val="double" w:sz="6" w:space="0" w:color="3F3F3F"/>
                    <w:bottom w:val="double" w:sz="6" w:space="0" w:color="3F3F3F"/>
                    <w:right w:val="double" w:sz="6" w:space="0" w:color="3F3F3F"/>
                  </w:tcBorders>
                  <w:shd w:val="clear" w:color="000000" w:fill="95B3D7"/>
                  <w:vAlign w:val="bottom"/>
                </w:tcPr>
                <w:p w:rsidR="0043575D" w:rsidRPr="00CC3C1B" w:rsidRDefault="0043575D" w:rsidP="00977ACF">
                  <w:pPr>
                    <w:spacing w:after="0" w:line="240" w:lineRule="auto"/>
                    <w:jc w:val="center"/>
                    <w:rPr>
                      <w:rFonts w:eastAsia="Times New Roman" w:cs="Calibri"/>
                      <w:b/>
                      <w:bCs/>
                      <w:color w:val="000000"/>
                      <w:sz w:val="20"/>
                      <w:szCs w:val="20"/>
                      <w:lang w:eastAsia="pl-PL"/>
                    </w:rPr>
                  </w:pPr>
                  <w:r w:rsidRPr="00CC3C1B">
                    <w:rPr>
                      <w:rFonts w:eastAsia="Times New Roman" w:cs="Calibri"/>
                      <w:b/>
                      <w:bCs/>
                      <w:color w:val="000000"/>
                      <w:sz w:val="20"/>
                      <w:szCs w:val="20"/>
                      <w:lang w:eastAsia="pl-PL"/>
                    </w:rPr>
                    <w:t>Kategoria gmin</w:t>
                  </w:r>
                </w:p>
              </w:tc>
              <w:tc>
                <w:tcPr>
                  <w:tcW w:w="2360" w:type="dxa"/>
                  <w:tcBorders>
                    <w:top w:val="double" w:sz="6" w:space="0" w:color="3F3F3F"/>
                    <w:left w:val="nil"/>
                    <w:bottom w:val="double" w:sz="6" w:space="0" w:color="3F3F3F"/>
                    <w:right w:val="double" w:sz="6" w:space="0" w:color="3F3F3F"/>
                  </w:tcBorders>
                  <w:shd w:val="clear" w:color="000000" w:fill="95B3D7"/>
                  <w:vAlign w:val="bottom"/>
                </w:tcPr>
                <w:p w:rsidR="0043575D" w:rsidRPr="00CC3C1B" w:rsidRDefault="0043575D" w:rsidP="00977ACF">
                  <w:pPr>
                    <w:spacing w:after="0" w:line="240" w:lineRule="auto"/>
                    <w:jc w:val="center"/>
                    <w:rPr>
                      <w:rFonts w:eastAsia="Times New Roman" w:cs="Calibri"/>
                      <w:b/>
                      <w:bCs/>
                      <w:color w:val="000000"/>
                      <w:sz w:val="20"/>
                      <w:szCs w:val="20"/>
                      <w:lang w:eastAsia="pl-PL"/>
                    </w:rPr>
                  </w:pPr>
                  <w:r w:rsidRPr="00CC3C1B">
                    <w:rPr>
                      <w:rFonts w:eastAsia="Times New Roman" w:cs="Calibri"/>
                      <w:b/>
                      <w:bCs/>
                      <w:color w:val="000000"/>
                      <w:sz w:val="20"/>
                      <w:szCs w:val="20"/>
                      <w:lang w:eastAsia="pl-PL"/>
                    </w:rPr>
                    <w:t>Poziom nakładów inwestycyjnych na gospodarstwo domowe z możliwością podłączenia</w:t>
                  </w:r>
                </w:p>
              </w:tc>
            </w:tr>
            <w:tr w:rsidR="0043575D" w:rsidRPr="00CC3C1B" w:rsidTr="00977ACF">
              <w:trPr>
                <w:trHeight w:val="330"/>
                <w:jc w:val="center"/>
              </w:trPr>
              <w:tc>
                <w:tcPr>
                  <w:tcW w:w="1100" w:type="dxa"/>
                  <w:tcBorders>
                    <w:top w:val="nil"/>
                    <w:left w:val="double" w:sz="6" w:space="0" w:color="3F3F3F"/>
                    <w:bottom w:val="double" w:sz="6" w:space="0" w:color="3F3F3F"/>
                    <w:right w:val="double" w:sz="6" w:space="0" w:color="3F3F3F"/>
                  </w:tcBorders>
                  <w:shd w:val="clear" w:color="000000" w:fill="DCE6F1"/>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1</w:t>
                  </w:r>
                </w:p>
              </w:tc>
              <w:tc>
                <w:tcPr>
                  <w:tcW w:w="2360" w:type="dxa"/>
                  <w:tcBorders>
                    <w:top w:val="nil"/>
                    <w:left w:val="nil"/>
                    <w:bottom w:val="double" w:sz="6" w:space="0" w:color="3F3F3F"/>
                    <w:right w:val="double" w:sz="6" w:space="0" w:color="3F3F3F"/>
                  </w:tcBorders>
                  <w:shd w:val="clear" w:color="000000" w:fill="DCE6F1"/>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1-1000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3F3F3F"/>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2</w:t>
                  </w:r>
                </w:p>
              </w:tc>
              <w:tc>
                <w:tcPr>
                  <w:tcW w:w="2360" w:type="dxa"/>
                  <w:tcBorders>
                    <w:top w:val="nil"/>
                    <w:left w:val="nil"/>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1001 – 2000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3F3F3F"/>
                    <w:bottom w:val="double" w:sz="6" w:space="0" w:color="3F3F3F"/>
                    <w:right w:val="double" w:sz="6" w:space="0" w:color="3F3F3F"/>
                  </w:tcBorders>
                  <w:shd w:val="clear" w:color="000000" w:fill="DCE6F1"/>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3</w:t>
                  </w:r>
                </w:p>
              </w:tc>
              <w:tc>
                <w:tcPr>
                  <w:tcW w:w="2360" w:type="dxa"/>
                  <w:tcBorders>
                    <w:top w:val="nil"/>
                    <w:left w:val="nil"/>
                    <w:bottom w:val="double" w:sz="6" w:space="0" w:color="3F3F3F"/>
                    <w:right w:val="double" w:sz="6" w:space="0" w:color="3F3F3F"/>
                  </w:tcBorders>
                  <w:shd w:val="clear" w:color="000000" w:fill="DCE6F1"/>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2001 – 3000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3F3F3F"/>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4</w:t>
                  </w:r>
                </w:p>
              </w:tc>
              <w:tc>
                <w:tcPr>
                  <w:tcW w:w="2360" w:type="dxa"/>
                  <w:tcBorders>
                    <w:top w:val="nil"/>
                    <w:left w:val="nil"/>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3001 – 4000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3F3F3F"/>
                    <w:bottom w:val="nil"/>
                    <w:right w:val="double" w:sz="6" w:space="0" w:color="3F3F3F"/>
                  </w:tcBorders>
                  <w:shd w:val="clear" w:color="000000" w:fill="DCE6F1"/>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5</w:t>
                  </w:r>
                </w:p>
              </w:tc>
              <w:tc>
                <w:tcPr>
                  <w:tcW w:w="2360" w:type="dxa"/>
                  <w:tcBorders>
                    <w:top w:val="nil"/>
                    <w:left w:val="nil"/>
                    <w:bottom w:val="nil"/>
                    <w:right w:val="double" w:sz="6" w:space="0" w:color="3F3F3F"/>
                  </w:tcBorders>
                  <w:shd w:val="clear" w:color="000000" w:fill="DCE6F1"/>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4001 – 5000 </w:t>
                  </w:r>
                  <w:r>
                    <w:rPr>
                      <w:rFonts w:eastAsia="Times New Roman" w:cs="Calibri"/>
                      <w:color w:val="000000"/>
                      <w:lang w:eastAsia="pl-PL"/>
                    </w:rPr>
                    <w:t>PLN</w:t>
                  </w:r>
                </w:p>
              </w:tc>
            </w:tr>
            <w:tr w:rsidR="0043575D" w:rsidRPr="00CC3C1B" w:rsidTr="00977ACF">
              <w:trPr>
                <w:trHeight w:val="330"/>
                <w:jc w:val="center"/>
              </w:trPr>
              <w:tc>
                <w:tcPr>
                  <w:tcW w:w="1100" w:type="dxa"/>
                  <w:tcBorders>
                    <w:top w:val="double" w:sz="6" w:space="0" w:color="FF0000"/>
                    <w:left w:val="double" w:sz="6" w:space="0" w:color="FF0000"/>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6</w:t>
                  </w:r>
                </w:p>
              </w:tc>
              <w:tc>
                <w:tcPr>
                  <w:tcW w:w="2360" w:type="dxa"/>
                  <w:tcBorders>
                    <w:top w:val="double" w:sz="6" w:space="0" w:color="FF0000"/>
                    <w:left w:val="nil"/>
                    <w:bottom w:val="double" w:sz="6" w:space="0" w:color="3F3F3F"/>
                    <w:right w:val="double" w:sz="6" w:space="0" w:color="FF0000"/>
                  </w:tcBorders>
                  <w:shd w:val="clear" w:color="000000" w:fill="95B3D7"/>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5001 – 6000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FF0000"/>
                    <w:bottom w:val="double" w:sz="6" w:space="0" w:color="3F3F3F"/>
                    <w:right w:val="double" w:sz="6" w:space="0" w:color="3F3F3F"/>
                  </w:tcBorders>
                  <w:shd w:val="clear" w:color="000000" w:fill="DCE6F1"/>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7</w:t>
                  </w:r>
                </w:p>
              </w:tc>
              <w:tc>
                <w:tcPr>
                  <w:tcW w:w="2360" w:type="dxa"/>
                  <w:tcBorders>
                    <w:top w:val="nil"/>
                    <w:left w:val="nil"/>
                    <w:bottom w:val="double" w:sz="6" w:space="0" w:color="3F3F3F"/>
                    <w:right w:val="double" w:sz="6" w:space="0" w:color="FF0000"/>
                  </w:tcBorders>
                  <w:shd w:val="clear" w:color="000000" w:fill="DCE6F1"/>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6001 – 7000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FF0000"/>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8</w:t>
                  </w:r>
                </w:p>
              </w:tc>
              <w:tc>
                <w:tcPr>
                  <w:tcW w:w="2360" w:type="dxa"/>
                  <w:tcBorders>
                    <w:top w:val="nil"/>
                    <w:left w:val="nil"/>
                    <w:bottom w:val="double" w:sz="6" w:space="0" w:color="3F3F3F"/>
                    <w:right w:val="double" w:sz="6" w:space="0" w:color="FF0000"/>
                  </w:tcBorders>
                  <w:shd w:val="clear" w:color="000000" w:fill="95B3D7"/>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7001 – 8000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FF0000"/>
                    <w:bottom w:val="double" w:sz="6" w:space="0" w:color="3F3F3F"/>
                    <w:right w:val="double" w:sz="6" w:space="0" w:color="3F3F3F"/>
                  </w:tcBorders>
                  <w:shd w:val="clear" w:color="000000" w:fill="DCE6F1"/>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9</w:t>
                  </w:r>
                </w:p>
              </w:tc>
              <w:tc>
                <w:tcPr>
                  <w:tcW w:w="2360" w:type="dxa"/>
                  <w:tcBorders>
                    <w:top w:val="nil"/>
                    <w:left w:val="nil"/>
                    <w:bottom w:val="double" w:sz="6" w:space="0" w:color="3F3F3F"/>
                    <w:right w:val="double" w:sz="6" w:space="0" w:color="FF0000"/>
                  </w:tcBorders>
                  <w:shd w:val="clear" w:color="000000" w:fill="DCE6F1"/>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8001 – 9000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FF0000"/>
                    <w:bottom w:val="double" w:sz="6" w:space="0" w:color="3F3F3F"/>
                    <w:right w:val="double" w:sz="6" w:space="0" w:color="3F3F3F"/>
                  </w:tcBorders>
                  <w:shd w:val="clear" w:color="000000" w:fill="95B3D7"/>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10</w:t>
                  </w:r>
                </w:p>
              </w:tc>
              <w:tc>
                <w:tcPr>
                  <w:tcW w:w="2360" w:type="dxa"/>
                  <w:tcBorders>
                    <w:top w:val="nil"/>
                    <w:left w:val="nil"/>
                    <w:bottom w:val="double" w:sz="6" w:space="0" w:color="3F3F3F"/>
                    <w:right w:val="double" w:sz="6" w:space="0" w:color="FF0000"/>
                  </w:tcBorders>
                  <w:shd w:val="clear" w:color="000000" w:fill="95B3D7"/>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9001 – 10 000 </w:t>
                  </w:r>
                  <w:r>
                    <w:rPr>
                      <w:rFonts w:eastAsia="Times New Roman" w:cs="Calibri"/>
                      <w:color w:val="000000"/>
                      <w:lang w:eastAsia="pl-PL"/>
                    </w:rPr>
                    <w:t>PLN</w:t>
                  </w:r>
                </w:p>
              </w:tc>
            </w:tr>
            <w:tr w:rsidR="0043575D" w:rsidRPr="00CC3C1B" w:rsidTr="00977ACF">
              <w:trPr>
                <w:trHeight w:val="330"/>
                <w:jc w:val="center"/>
              </w:trPr>
              <w:tc>
                <w:tcPr>
                  <w:tcW w:w="1100" w:type="dxa"/>
                  <w:tcBorders>
                    <w:top w:val="nil"/>
                    <w:left w:val="double" w:sz="6" w:space="0" w:color="FF0000"/>
                    <w:bottom w:val="double" w:sz="6" w:space="0" w:color="FF0000"/>
                    <w:right w:val="double" w:sz="6" w:space="0" w:color="3F3F3F"/>
                  </w:tcBorders>
                  <w:shd w:val="clear" w:color="000000" w:fill="DCE6F1"/>
                  <w:noWrap/>
                  <w:vAlign w:val="bottom"/>
                </w:tcPr>
                <w:p w:rsidR="0043575D" w:rsidRPr="00CC3C1B" w:rsidRDefault="0043575D" w:rsidP="00977ACF">
                  <w:pPr>
                    <w:spacing w:after="0" w:line="240" w:lineRule="auto"/>
                    <w:jc w:val="right"/>
                    <w:rPr>
                      <w:rFonts w:eastAsia="Times New Roman" w:cs="Calibri"/>
                      <w:color w:val="000000"/>
                      <w:lang w:eastAsia="pl-PL"/>
                    </w:rPr>
                  </w:pPr>
                  <w:r w:rsidRPr="00CC3C1B">
                    <w:rPr>
                      <w:rFonts w:eastAsia="Times New Roman" w:cs="Calibri"/>
                      <w:color w:val="000000"/>
                      <w:lang w:eastAsia="pl-PL"/>
                    </w:rPr>
                    <w:t>11</w:t>
                  </w:r>
                </w:p>
              </w:tc>
              <w:tc>
                <w:tcPr>
                  <w:tcW w:w="2360" w:type="dxa"/>
                  <w:tcBorders>
                    <w:top w:val="nil"/>
                    <w:left w:val="nil"/>
                    <w:bottom w:val="double" w:sz="6" w:space="0" w:color="FF0000"/>
                    <w:right w:val="double" w:sz="6" w:space="0" w:color="FF0000"/>
                  </w:tcBorders>
                  <w:shd w:val="clear" w:color="000000" w:fill="DCE6F1"/>
                  <w:noWrap/>
                  <w:vAlign w:val="bottom"/>
                </w:tcPr>
                <w:p w:rsidR="0043575D" w:rsidRPr="00CC3C1B" w:rsidRDefault="0043575D" w:rsidP="00977ACF">
                  <w:pPr>
                    <w:spacing w:after="0" w:line="240" w:lineRule="auto"/>
                    <w:rPr>
                      <w:rFonts w:eastAsia="Times New Roman" w:cs="Calibri"/>
                      <w:color w:val="000000"/>
                      <w:lang w:eastAsia="pl-PL"/>
                    </w:rPr>
                  </w:pPr>
                  <w:r w:rsidRPr="00CC3C1B">
                    <w:rPr>
                      <w:rFonts w:eastAsia="Times New Roman" w:cs="Calibri"/>
                      <w:color w:val="000000"/>
                      <w:lang w:eastAsia="pl-PL"/>
                    </w:rPr>
                    <w:t xml:space="preserve">10 001 </w:t>
                  </w:r>
                  <w:r>
                    <w:rPr>
                      <w:rFonts w:eastAsia="Times New Roman" w:cs="Calibri"/>
                      <w:color w:val="000000"/>
                      <w:lang w:eastAsia="pl-PL"/>
                    </w:rPr>
                    <w:t>PLN</w:t>
                  </w:r>
                  <w:r w:rsidRPr="00CC3C1B">
                    <w:rPr>
                      <w:rFonts w:eastAsia="Times New Roman" w:cs="Calibri"/>
                      <w:color w:val="000000"/>
                      <w:lang w:eastAsia="pl-PL"/>
                    </w:rPr>
                    <w:t xml:space="preserve"> i więcej</w:t>
                  </w:r>
                </w:p>
              </w:tc>
            </w:tr>
          </w:tbl>
          <w:p w:rsidR="0043575D" w:rsidRPr="00CC3C1B" w:rsidRDefault="0043575D" w:rsidP="00977ACF">
            <w:pPr>
              <w:autoSpaceDE w:val="0"/>
              <w:autoSpaceDN w:val="0"/>
              <w:adjustRightInd w:val="0"/>
              <w:spacing w:after="0" w:line="240" w:lineRule="auto"/>
              <w:jc w:val="both"/>
              <w:rPr>
                <w:rFonts w:cs="Calibri"/>
                <w:bCs/>
                <w:color w:val="000000"/>
                <w:sz w:val="20"/>
                <w:szCs w:val="20"/>
                <w:lang w:eastAsia="pl-PL"/>
              </w:rPr>
            </w:pPr>
          </w:p>
          <w:p w:rsidR="0043575D" w:rsidRPr="009B1A16" w:rsidRDefault="0043575D" w:rsidP="00BB5A64">
            <w:pPr>
              <w:autoSpaceDE w:val="0"/>
              <w:autoSpaceDN w:val="0"/>
              <w:adjustRightInd w:val="0"/>
              <w:spacing w:before="120" w:after="120" w:line="240" w:lineRule="auto"/>
              <w:jc w:val="both"/>
              <w:rPr>
                <w:rFonts w:cs="Calibri"/>
                <w:bCs/>
                <w:color w:val="000000"/>
                <w:sz w:val="20"/>
                <w:szCs w:val="20"/>
                <w:lang w:eastAsia="pl-PL"/>
              </w:rPr>
            </w:pPr>
            <w:r w:rsidRPr="00CC3C1B">
              <w:rPr>
                <w:rFonts w:cs="Calibri"/>
                <w:bCs/>
                <w:color w:val="000000"/>
                <w:sz w:val="20"/>
                <w:szCs w:val="20"/>
                <w:lang w:eastAsia="pl-PL"/>
              </w:rPr>
              <w:t>Autorzy wspomnianej ekspertyzy wskazują, że dotacje powinny być kierowane głównie do gmin zaliczanych do kategorii 6 i wyższej</w:t>
            </w:r>
            <w:r>
              <w:rPr>
                <w:rFonts w:cs="Calibri"/>
                <w:bCs/>
                <w:color w:val="000000"/>
                <w:sz w:val="20"/>
                <w:szCs w:val="20"/>
                <w:lang w:eastAsia="pl-PL"/>
              </w:rPr>
              <w:t>, i takie założenie przyjęto przy szacowaniu wartości wskaźników do POPC w niniejszej analizie.</w:t>
            </w:r>
            <w:r w:rsidR="00655C9F">
              <w:rPr>
                <w:rFonts w:cs="Calibri"/>
                <w:bCs/>
                <w:color w:val="000000"/>
                <w:sz w:val="20"/>
                <w:szCs w:val="20"/>
                <w:lang w:eastAsia="pl-PL"/>
              </w:rPr>
              <w:t xml:space="preserve"> Takie podejście </w:t>
            </w:r>
            <w:r w:rsidR="00574ABB">
              <w:rPr>
                <w:rFonts w:cs="Calibri"/>
                <w:bCs/>
                <w:color w:val="000000"/>
                <w:sz w:val="20"/>
                <w:szCs w:val="20"/>
                <w:lang w:eastAsia="pl-PL"/>
              </w:rPr>
              <w:t xml:space="preserve">jest </w:t>
            </w:r>
            <w:r w:rsidR="00655C9F">
              <w:rPr>
                <w:rFonts w:cs="Calibri"/>
                <w:bCs/>
                <w:color w:val="000000"/>
                <w:sz w:val="20"/>
                <w:szCs w:val="20"/>
                <w:lang w:eastAsia="pl-PL"/>
              </w:rPr>
              <w:t>również</w:t>
            </w:r>
            <w:r w:rsidR="00574ABB">
              <w:rPr>
                <w:rFonts w:cs="Calibri"/>
                <w:bCs/>
                <w:color w:val="000000"/>
                <w:sz w:val="20"/>
                <w:szCs w:val="20"/>
                <w:lang w:eastAsia="pl-PL"/>
              </w:rPr>
              <w:t xml:space="preserve"> zbieżne</w:t>
            </w:r>
            <w:r w:rsidR="00655C9F">
              <w:rPr>
                <w:rFonts w:cs="Calibri"/>
                <w:bCs/>
                <w:color w:val="000000"/>
                <w:sz w:val="20"/>
                <w:szCs w:val="20"/>
                <w:lang w:eastAsia="pl-PL"/>
              </w:rPr>
              <w:t xml:space="preserve"> </w:t>
            </w:r>
            <w:r w:rsidR="00640292">
              <w:rPr>
                <w:rFonts w:cs="Calibri"/>
                <w:bCs/>
                <w:color w:val="000000"/>
                <w:sz w:val="20"/>
                <w:szCs w:val="20"/>
                <w:lang w:eastAsia="pl-PL"/>
              </w:rPr>
              <w:t xml:space="preserve">z </w:t>
            </w:r>
            <w:r w:rsidR="00655C9F">
              <w:rPr>
                <w:rFonts w:cs="Calibri"/>
                <w:bCs/>
                <w:color w:val="000000"/>
                <w:sz w:val="20"/>
                <w:szCs w:val="20"/>
                <w:lang w:eastAsia="pl-PL"/>
              </w:rPr>
              <w:t>raport</w:t>
            </w:r>
            <w:r w:rsidR="00574ABB">
              <w:rPr>
                <w:rFonts w:cs="Calibri"/>
                <w:bCs/>
                <w:color w:val="000000"/>
                <w:sz w:val="20"/>
                <w:szCs w:val="20"/>
                <w:lang w:eastAsia="pl-PL"/>
              </w:rPr>
              <w:t>em</w:t>
            </w:r>
            <w:r w:rsidR="00655C9F">
              <w:rPr>
                <w:rFonts w:cs="Calibri"/>
                <w:bCs/>
                <w:color w:val="000000"/>
                <w:sz w:val="20"/>
                <w:szCs w:val="20"/>
                <w:lang w:eastAsia="pl-PL"/>
              </w:rPr>
              <w:t xml:space="preserve"> KIKE</w:t>
            </w:r>
            <w:r w:rsidR="00655C9F">
              <w:rPr>
                <w:rStyle w:val="Odwoanieprzypisudolnego"/>
                <w:rFonts w:cs="Calibri"/>
                <w:bCs/>
                <w:color w:val="000000"/>
                <w:sz w:val="20"/>
                <w:szCs w:val="20"/>
                <w:lang w:eastAsia="pl-PL"/>
              </w:rPr>
              <w:footnoteReference w:id="7"/>
            </w:r>
            <w:r w:rsidR="00655C9F">
              <w:rPr>
                <w:rFonts w:cs="Calibri"/>
                <w:bCs/>
                <w:color w:val="000000"/>
                <w:sz w:val="20"/>
                <w:szCs w:val="20"/>
                <w:lang w:eastAsia="pl-PL"/>
              </w:rPr>
              <w:t>, który wskazuje na możliwość zaburzenia naturalnej gry rynkowej op</w:t>
            </w:r>
            <w:r w:rsidR="0082575E">
              <w:rPr>
                <w:rFonts w:cs="Calibri"/>
                <w:bCs/>
                <w:color w:val="000000"/>
                <w:sz w:val="20"/>
                <w:szCs w:val="20"/>
                <w:lang w:eastAsia="pl-PL"/>
              </w:rPr>
              <w:t>e</w:t>
            </w:r>
            <w:r w:rsidR="00655C9F">
              <w:rPr>
                <w:rFonts w:cs="Calibri"/>
                <w:bCs/>
                <w:color w:val="000000"/>
                <w:sz w:val="20"/>
                <w:szCs w:val="20"/>
                <w:lang w:eastAsia="pl-PL"/>
              </w:rPr>
              <w:t>ratorów, w sytuacji gdyby umożliwiono wprowadz</w:t>
            </w:r>
            <w:r w:rsidR="0082575E">
              <w:rPr>
                <w:rFonts w:cs="Calibri"/>
                <w:bCs/>
                <w:color w:val="000000"/>
                <w:sz w:val="20"/>
                <w:szCs w:val="20"/>
                <w:lang w:eastAsia="pl-PL"/>
              </w:rPr>
              <w:t xml:space="preserve">enie </w:t>
            </w:r>
            <w:r w:rsidR="00655C9F">
              <w:rPr>
                <w:rFonts w:cs="Calibri"/>
                <w:bCs/>
                <w:color w:val="000000"/>
                <w:sz w:val="20"/>
                <w:szCs w:val="20"/>
                <w:lang w:eastAsia="pl-PL"/>
              </w:rPr>
              <w:t xml:space="preserve">dotowanej konkurencji na obszar, który posiada własne możliwości zapewnienia usług poprzez rozwój istniejących sieci. </w:t>
            </w:r>
            <w:r w:rsidR="0082575E">
              <w:rPr>
                <w:rFonts w:cs="Calibri"/>
                <w:bCs/>
                <w:color w:val="000000"/>
                <w:sz w:val="20"/>
                <w:szCs w:val="20"/>
                <w:lang w:eastAsia="pl-PL"/>
              </w:rPr>
              <w:t xml:space="preserve">Autorzy raportu rekomendują </w:t>
            </w:r>
            <w:r w:rsidR="00655C9F" w:rsidRPr="00DD7E68">
              <w:rPr>
                <w:rFonts w:cs="Calibri"/>
                <w:bCs/>
                <w:color w:val="000000"/>
                <w:sz w:val="20"/>
                <w:szCs w:val="20"/>
                <w:lang w:eastAsia="pl-PL"/>
              </w:rPr>
              <w:t>zablokowanie („zaczernienie”) bezpośredniego są</w:t>
            </w:r>
            <w:r w:rsidR="00655C9F" w:rsidRPr="00655C9F">
              <w:rPr>
                <w:rFonts w:cs="Calibri"/>
                <w:bCs/>
                <w:color w:val="000000"/>
                <w:sz w:val="20"/>
                <w:szCs w:val="20"/>
                <w:lang w:eastAsia="pl-PL"/>
              </w:rPr>
              <w:t>siedztwa</w:t>
            </w:r>
            <w:r w:rsidR="00655C9F">
              <w:rPr>
                <w:rFonts w:cs="Calibri"/>
                <w:bCs/>
                <w:color w:val="000000"/>
                <w:sz w:val="20"/>
                <w:szCs w:val="20"/>
                <w:lang w:eastAsia="pl-PL"/>
              </w:rPr>
              <w:t xml:space="preserve"> </w:t>
            </w:r>
            <w:r w:rsidR="00655C9F" w:rsidRPr="00DD7E68">
              <w:rPr>
                <w:rFonts w:cs="Calibri"/>
                <w:bCs/>
                <w:color w:val="000000"/>
                <w:sz w:val="20"/>
                <w:szCs w:val="20"/>
                <w:lang w:eastAsia="pl-PL"/>
              </w:rPr>
              <w:t>istniejących sieci (np. najbliższa ulica), będą</w:t>
            </w:r>
            <w:r w:rsidR="00655C9F" w:rsidRPr="00655C9F">
              <w:rPr>
                <w:rFonts w:cs="Calibri"/>
                <w:bCs/>
                <w:color w:val="000000"/>
                <w:sz w:val="20"/>
                <w:szCs w:val="20"/>
                <w:lang w:eastAsia="pl-PL"/>
              </w:rPr>
              <w:t>cego w warunkach konkurencji</w:t>
            </w:r>
            <w:r w:rsidR="00655C9F">
              <w:rPr>
                <w:rFonts w:cs="Calibri"/>
                <w:bCs/>
                <w:color w:val="000000"/>
                <w:sz w:val="20"/>
                <w:szCs w:val="20"/>
                <w:lang w:eastAsia="pl-PL"/>
              </w:rPr>
              <w:t xml:space="preserve"> </w:t>
            </w:r>
            <w:r w:rsidR="00655C9F" w:rsidRPr="00DD7E68">
              <w:rPr>
                <w:rFonts w:cs="Calibri"/>
                <w:bCs/>
                <w:color w:val="000000"/>
                <w:sz w:val="20"/>
                <w:szCs w:val="20"/>
                <w:lang w:eastAsia="pl-PL"/>
              </w:rPr>
              <w:t>rynkowej obszarem naturalnego rozszerzania się sieci.</w:t>
            </w:r>
          </w:p>
          <w:p w:rsidR="006D5B9B" w:rsidRPr="000B023F" w:rsidRDefault="0043575D" w:rsidP="00BB5A64">
            <w:pPr>
              <w:autoSpaceDE w:val="0"/>
              <w:autoSpaceDN w:val="0"/>
              <w:adjustRightInd w:val="0"/>
              <w:spacing w:before="120" w:after="120" w:line="240" w:lineRule="auto"/>
              <w:jc w:val="both"/>
              <w:rPr>
                <w:rFonts w:cs="Calibri"/>
                <w:bCs/>
                <w:color w:val="000000"/>
                <w:sz w:val="20"/>
                <w:szCs w:val="20"/>
                <w:lang w:eastAsia="pl-PL"/>
              </w:rPr>
            </w:pPr>
            <w:r w:rsidRPr="009B1A16">
              <w:rPr>
                <w:rFonts w:cs="Calibri"/>
                <w:color w:val="000000"/>
                <w:sz w:val="20"/>
                <w:szCs w:val="20"/>
                <w:lang w:eastAsia="pl-PL"/>
              </w:rPr>
              <w:t>Łącznie szacuje się, że</w:t>
            </w:r>
            <w:r>
              <w:rPr>
                <w:rFonts w:cs="Calibri"/>
                <w:color w:val="000000"/>
                <w:sz w:val="20"/>
                <w:szCs w:val="20"/>
                <w:lang w:eastAsia="pl-PL"/>
              </w:rPr>
              <w:t xml:space="preserve"> </w:t>
            </w:r>
            <w:r w:rsidRPr="00074D07">
              <w:rPr>
                <w:rFonts w:cs="Calibri"/>
                <w:color w:val="000000"/>
                <w:sz w:val="20"/>
                <w:szCs w:val="20"/>
                <w:lang w:eastAsia="pl-PL"/>
              </w:rPr>
              <w:t xml:space="preserve">- </w:t>
            </w:r>
            <w:r w:rsidRPr="00D60961">
              <w:rPr>
                <w:rFonts w:cs="Calibri"/>
                <w:color w:val="000000"/>
                <w:sz w:val="20"/>
                <w:szCs w:val="20"/>
                <w:lang w:eastAsia="pl-PL"/>
              </w:rPr>
              <w:t>przyjmując za najbardziej efektywną budowę sieci telekomunikacyjnej w Polsce: mix technologiczny -</w:t>
            </w:r>
            <w:r w:rsidRPr="009B1A16">
              <w:rPr>
                <w:rFonts w:cs="Calibri"/>
                <w:color w:val="000000"/>
                <w:sz w:val="20"/>
                <w:szCs w:val="20"/>
                <w:lang w:eastAsia="pl-PL"/>
              </w:rPr>
              <w:t xml:space="preserve"> całość niezbędnych nakładów inwestycyjnych</w:t>
            </w:r>
            <w:r>
              <w:rPr>
                <w:rFonts w:cs="Calibri"/>
                <w:color w:val="000000"/>
                <w:sz w:val="20"/>
                <w:szCs w:val="20"/>
                <w:lang w:eastAsia="pl-PL"/>
              </w:rPr>
              <w:t xml:space="preserve"> </w:t>
            </w:r>
            <w:r w:rsidRPr="009B1A16">
              <w:rPr>
                <w:rFonts w:cs="Calibri"/>
                <w:color w:val="000000"/>
                <w:sz w:val="20"/>
                <w:szCs w:val="20"/>
                <w:lang w:eastAsia="pl-PL"/>
              </w:rPr>
              <w:t xml:space="preserve">wynosi </w:t>
            </w:r>
            <w:r w:rsidRPr="009B1A16">
              <w:rPr>
                <w:rFonts w:cs="Calibri"/>
                <w:bCs/>
                <w:color w:val="000000"/>
                <w:sz w:val="20"/>
                <w:szCs w:val="20"/>
                <w:lang w:eastAsia="pl-PL"/>
              </w:rPr>
              <w:t xml:space="preserve">17,25 mld </w:t>
            </w:r>
            <w:r>
              <w:rPr>
                <w:rFonts w:cs="Calibri"/>
                <w:bCs/>
                <w:color w:val="000000"/>
                <w:sz w:val="20"/>
                <w:szCs w:val="20"/>
                <w:lang w:eastAsia="pl-PL"/>
              </w:rPr>
              <w:t>PLN</w:t>
            </w:r>
            <w:r w:rsidRPr="009B1A16">
              <w:rPr>
                <w:rFonts w:cs="Calibri"/>
                <w:color w:val="000000"/>
                <w:sz w:val="20"/>
                <w:szCs w:val="20"/>
                <w:lang w:eastAsia="pl-PL"/>
              </w:rPr>
              <w:t xml:space="preserve">, zaś wymagany poziom zaangażowania środków publicznych jest na poziomie </w:t>
            </w:r>
            <w:r w:rsidRPr="009B1A16">
              <w:rPr>
                <w:rFonts w:cs="Calibri"/>
                <w:bCs/>
                <w:color w:val="000000"/>
                <w:sz w:val="20"/>
                <w:szCs w:val="20"/>
                <w:lang w:eastAsia="pl-PL"/>
              </w:rPr>
              <w:t xml:space="preserve">5,9 mld </w:t>
            </w:r>
            <w:r>
              <w:rPr>
                <w:rFonts w:cs="Calibri"/>
                <w:bCs/>
                <w:color w:val="000000"/>
                <w:sz w:val="20"/>
                <w:szCs w:val="20"/>
                <w:lang w:eastAsia="pl-PL"/>
              </w:rPr>
              <w:t>PLN</w:t>
            </w:r>
            <w:r w:rsidRPr="009B1A16">
              <w:rPr>
                <w:rFonts w:cs="Calibri"/>
                <w:color w:val="000000"/>
                <w:sz w:val="20"/>
                <w:szCs w:val="20"/>
                <w:lang w:eastAsia="pl-PL"/>
              </w:rPr>
              <w:t xml:space="preserve">. Tereny obecnie niepokryte odpowiednią infrastrukturą sieciową, dla których nie przewiduje się wsparcia (niezbędne pokrycie zostanie uzyskane siłami rynkowymi) zamieszkane są przez ok. </w:t>
            </w:r>
            <w:r w:rsidRPr="009B1A16">
              <w:rPr>
                <w:rFonts w:cs="Calibri"/>
                <w:bCs/>
                <w:color w:val="000000"/>
                <w:sz w:val="20"/>
                <w:szCs w:val="20"/>
                <w:lang w:eastAsia="pl-PL"/>
              </w:rPr>
              <w:t>8,96 mln</w:t>
            </w:r>
            <w:r w:rsidRPr="009B1A16">
              <w:rPr>
                <w:rFonts w:cs="Calibri"/>
                <w:color w:val="000000"/>
                <w:sz w:val="20"/>
                <w:szCs w:val="20"/>
                <w:lang w:eastAsia="pl-PL"/>
              </w:rPr>
              <w:t xml:space="preserve"> ludności. Należą do nich obszary </w:t>
            </w:r>
            <w:r w:rsidR="003312F9">
              <w:rPr>
                <w:rFonts w:cs="Calibri"/>
                <w:color w:val="000000"/>
                <w:sz w:val="20"/>
                <w:szCs w:val="20"/>
                <w:lang w:eastAsia="pl-PL"/>
              </w:rPr>
              <w:t>k</w:t>
            </w:r>
            <w:r w:rsidRPr="009B1A16">
              <w:rPr>
                <w:rFonts w:cs="Calibri"/>
                <w:color w:val="000000"/>
                <w:sz w:val="20"/>
                <w:szCs w:val="20"/>
                <w:lang w:eastAsia="pl-PL"/>
              </w:rPr>
              <w:t xml:space="preserve">ategorii 1-3. Pozostała część (ok. </w:t>
            </w:r>
            <w:r w:rsidRPr="009B1A16">
              <w:rPr>
                <w:rFonts w:cs="Calibri"/>
                <w:bCs/>
                <w:color w:val="000000"/>
                <w:sz w:val="20"/>
                <w:szCs w:val="20"/>
                <w:lang w:eastAsia="pl-PL"/>
              </w:rPr>
              <w:t>7,4 mln</w:t>
            </w:r>
            <w:r w:rsidRPr="009B1A16">
              <w:rPr>
                <w:rFonts w:cs="Calibri"/>
                <w:color w:val="000000"/>
                <w:sz w:val="20"/>
                <w:szCs w:val="20"/>
                <w:lang w:eastAsia="pl-PL"/>
              </w:rPr>
              <w:t xml:space="preserve"> ludności) wymaga interwencji państwa, przy czym obszary o stosunkowo niewielkim przekroczeniu granicy opłacalności inwestycji operatorskich (kategorie 4-5), dla których wymagane jest ok. </w:t>
            </w:r>
            <w:r w:rsidRPr="009B1A16">
              <w:rPr>
                <w:rFonts w:cs="Calibri"/>
                <w:bCs/>
                <w:color w:val="000000"/>
                <w:sz w:val="20"/>
                <w:szCs w:val="20"/>
                <w:lang w:eastAsia="pl-PL"/>
              </w:rPr>
              <w:t xml:space="preserve">654 mln </w:t>
            </w:r>
            <w:r>
              <w:rPr>
                <w:rFonts w:cs="Calibri"/>
                <w:bCs/>
                <w:color w:val="000000"/>
                <w:sz w:val="20"/>
                <w:szCs w:val="20"/>
                <w:lang w:eastAsia="pl-PL"/>
              </w:rPr>
              <w:t>PLN</w:t>
            </w:r>
            <w:r w:rsidRPr="009B1A16">
              <w:rPr>
                <w:rFonts w:cs="Calibri"/>
                <w:color w:val="000000"/>
                <w:sz w:val="20"/>
                <w:szCs w:val="20"/>
                <w:lang w:eastAsia="pl-PL"/>
              </w:rPr>
              <w:t xml:space="preserve"> dopłat, obejmują ok. </w:t>
            </w:r>
            <w:r w:rsidRPr="009B1A16">
              <w:rPr>
                <w:rFonts w:cs="Calibri"/>
                <w:bCs/>
                <w:color w:val="000000"/>
                <w:sz w:val="20"/>
                <w:szCs w:val="20"/>
                <w:lang w:eastAsia="pl-PL"/>
              </w:rPr>
              <w:t>3,1 mln</w:t>
            </w:r>
            <w:r w:rsidRPr="009B1A16">
              <w:rPr>
                <w:rFonts w:cs="Calibri"/>
                <w:color w:val="000000"/>
                <w:sz w:val="20"/>
                <w:szCs w:val="20"/>
                <w:lang w:eastAsia="pl-PL"/>
              </w:rPr>
              <w:t xml:space="preserve"> ludzi. Interwencja POPC planowana jest w pozostałych gminach, tj. kategorie 6-11 (dla których wymagane jest ok. </w:t>
            </w:r>
            <w:r w:rsidRPr="009B1A16">
              <w:rPr>
                <w:rFonts w:cs="Calibri"/>
                <w:bCs/>
                <w:color w:val="000000"/>
                <w:sz w:val="20"/>
                <w:szCs w:val="20"/>
                <w:lang w:eastAsia="pl-PL"/>
              </w:rPr>
              <w:t xml:space="preserve">5,2 mld </w:t>
            </w:r>
            <w:r>
              <w:rPr>
                <w:rFonts w:cs="Calibri"/>
                <w:bCs/>
                <w:color w:val="000000"/>
                <w:sz w:val="20"/>
                <w:szCs w:val="20"/>
                <w:lang w:eastAsia="pl-PL"/>
              </w:rPr>
              <w:t>PLN</w:t>
            </w:r>
            <w:r w:rsidRPr="009B1A16">
              <w:rPr>
                <w:rFonts w:cs="Calibri"/>
                <w:color w:val="000000"/>
                <w:sz w:val="20"/>
                <w:szCs w:val="20"/>
                <w:lang w:eastAsia="pl-PL"/>
              </w:rPr>
              <w:t xml:space="preserve"> dopłat), a obejmują one </w:t>
            </w:r>
            <w:r w:rsidRPr="009B1A16">
              <w:rPr>
                <w:rFonts w:cs="Calibri"/>
                <w:bCs/>
                <w:color w:val="000000"/>
                <w:sz w:val="20"/>
                <w:szCs w:val="20"/>
                <w:lang w:eastAsia="pl-PL"/>
              </w:rPr>
              <w:t>4,2 mln</w:t>
            </w:r>
            <w:r w:rsidRPr="009B1A16">
              <w:rPr>
                <w:rFonts w:cs="Calibri"/>
                <w:color w:val="000000"/>
                <w:sz w:val="20"/>
                <w:szCs w:val="20"/>
                <w:lang w:eastAsia="pl-PL"/>
              </w:rPr>
              <w:t xml:space="preserve"> ludności. Tereny te to prawie wyłącznie obszary wiejskie, o rozproszonej zabudowie i stosunkowo niskim potencjale ekonomicznym. Największe nakłady (w przeliczeniu na głowę mieszkańca) będą musiały być poniesione dla zapewnienia Internetu dla kilku procent populacji.</w:t>
            </w:r>
            <w:r w:rsidR="005F6C3C">
              <w:rPr>
                <w:rFonts w:cs="Calibri"/>
                <w:color w:val="000000"/>
                <w:sz w:val="20"/>
                <w:szCs w:val="20"/>
                <w:lang w:eastAsia="pl-PL"/>
              </w:rPr>
              <w:t xml:space="preserve"> W związku z powyższym, dążąc do </w:t>
            </w:r>
            <w:r w:rsidR="005F6C3C">
              <w:rPr>
                <w:rFonts w:cs="Calibri"/>
                <w:bCs/>
                <w:color w:val="000000"/>
                <w:sz w:val="20"/>
                <w:szCs w:val="20"/>
                <w:lang w:eastAsia="pl-PL"/>
              </w:rPr>
              <w:t>eliminacji różnic terytorialnych w dostępie do szerokopasmowego Internetu,</w:t>
            </w:r>
            <w:r w:rsidR="005F6C3C">
              <w:rPr>
                <w:rFonts w:cs="Calibri"/>
                <w:color w:val="000000"/>
                <w:sz w:val="20"/>
                <w:szCs w:val="20"/>
                <w:lang w:eastAsia="pl-PL"/>
              </w:rPr>
              <w:t xml:space="preserve"> </w:t>
            </w:r>
            <w:r w:rsidR="005F6C3C" w:rsidRPr="009B1A16">
              <w:rPr>
                <w:rFonts w:cs="Calibri"/>
                <w:bCs/>
                <w:color w:val="000000"/>
                <w:sz w:val="20"/>
                <w:szCs w:val="20"/>
                <w:lang w:eastAsia="pl-PL"/>
              </w:rPr>
              <w:t xml:space="preserve">dotacje POPC zostaną skierowane na wsparcie inwestycji w gminach </w:t>
            </w:r>
            <w:r w:rsidR="005F6C3C">
              <w:rPr>
                <w:rFonts w:cs="Calibri"/>
                <w:bCs/>
                <w:color w:val="000000"/>
                <w:sz w:val="20"/>
                <w:szCs w:val="20"/>
                <w:lang w:eastAsia="pl-PL"/>
              </w:rPr>
              <w:t xml:space="preserve">o </w:t>
            </w:r>
            <w:r w:rsidR="005F6C3C" w:rsidRPr="00FB7764">
              <w:rPr>
                <w:rFonts w:cs="Calibri"/>
                <w:bCs/>
                <w:color w:val="000000"/>
                <w:sz w:val="20"/>
                <w:szCs w:val="20"/>
                <w:lang w:eastAsia="pl-PL"/>
              </w:rPr>
              <w:t>najwyższych kos</w:t>
            </w:r>
            <w:r w:rsidR="005F6C3C" w:rsidRPr="000B023F">
              <w:rPr>
                <w:rFonts w:cs="Calibri"/>
                <w:bCs/>
                <w:color w:val="000000"/>
                <w:sz w:val="20"/>
                <w:szCs w:val="20"/>
                <w:lang w:eastAsia="pl-PL"/>
              </w:rPr>
              <w:t>ztach, tj. na terenach zaliczonych do kategorii 6 i wyższej.</w:t>
            </w:r>
          </w:p>
          <w:p w:rsidR="0043575D" w:rsidRPr="00D014C2" w:rsidRDefault="0043575D" w:rsidP="00BB5A64">
            <w:pPr>
              <w:autoSpaceDE w:val="0"/>
              <w:autoSpaceDN w:val="0"/>
              <w:adjustRightInd w:val="0"/>
              <w:spacing w:before="120" w:after="120" w:line="240" w:lineRule="auto"/>
              <w:jc w:val="both"/>
              <w:rPr>
                <w:rFonts w:cs="Calibri"/>
                <w:bCs/>
                <w:color w:val="000000"/>
                <w:sz w:val="20"/>
                <w:szCs w:val="20"/>
                <w:lang w:eastAsia="pl-PL"/>
              </w:rPr>
            </w:pPr>
            <w:r w:rsidRPr="000B023F">
              <w:rPr>
                <w:rFonts w:cs="Calibri"/>
                <w:bCs/>
                <w:color w:val="000000"/>
                <w:sz w:val="20"/>
                <w:szCs w:val="20"/>
                <w:lang w:eastAsia="pl-PL"/>
              </w:rPr>
              <w:t>Na realizację zakładanej interwencji przeznaczono w ramach POPC ze środków UE</w:t>
            </w:r>
            <w:r w:rsidRPr="000B023F">
              <w:rPr>
                <w:rStyle w:val="Odwoanieprzypisudolnego"/>
                <w:rFonts w:cs="Calibri"/>
                <w:bCs/>
                <w:color w:val="000000"/>
                <w:sz w:val="20"/>
                <w:szCs w:val="20"/>
                <w:lang w:eastAsia="pl-PL"/>
              </w:rPr>
              <w:footnoteReference w:id="8"/>
            </w:r>
            <w:r w:rsidRPr="000B023F">
              <w:rPr>
                <w:rFonts w:cs="Calibri"/>
                <w:bCs/>
                <w:color w:val="000000"/>
                <w:sz w:val="20"/>
                <w:szCs w:val="20"/>
                <w:lang w:eastAsia="pl-PL"/>
              </w:rPr>
              <w:t xml:space="preserve"> </w:t>
            </w:r>
            <w:r w:rsidR="00184E8A" w:rsidRPr="00D06408">
              <w:rPr>
                <w:rFonts w:cs="Calibri"/>
                <w:bCs/>
                <w:color w:val="000000"/>
                <w:sz w:val="20"/>
                <w:szCs w:val="20"/>
                <w:lang w:eastAsia="pl-PL"/>
              </w:rPr>
              <w:t>3,</w:t>
            </w:r>
            <w:r w:rsidR="003B1257">
              <w:rPr>
                <w:rFonts w:cs="Calibri"/>
                <w:bCs/>
                <w:color w:val="000000"/>
                <w:sz w:val="20"/>
                <w:szCs w:val="20"/>
                <w:lang w:eastAsia="pl-PL"/>
              </w:rPr>
              <w:t>6</w:t>
            </w:r>
            <w:r w:rsidR="00AD4CA2">
              <w:rPr>
                <w:rFonts w:cs="Calibri"/>
                <w:bCs/>
                <w:color w:val="000000"/>
                <w:sz w:val="20"/>
                <w:szCs w:val="20"/>
                <w:lang w:eastAsia="pl-PL"/>
              </w:rPr>
              <w:t>2</w:t>
            </w:r>
            <w:r w:rsidR="003B1257" w:rsidRPr="00322484">
              <w:rPr>
                <w:rFonts w:cs="Calibri"/>
                <w:bCs/>
                <w:color w:val="000000"/>
                <w:sz w:val="20"/>
                <w:szCs w:val="20"/>
                <w:lang w:eastAsia="pl-PL"/>
              </w:rPr>
              <w:t xml:space="preserve"> </w:t>
            </w:r>
            <w:r w:rsidRPr="00322484">
              <w:rPr>
                <w:rFonts w:cs="Calibri"/>
                <w:bCs/>
                <w:color w:val="000000"/>
                <w:sz w:val="20"/>
                <w:szCs w:val="20"/>
                <w:lang w:eastAsia="pl-PL"/>
              </w:rPr>
              <w:t>mld PLN, z czego 3,</w:t>
            </w:r>
            <w:r w:rsidR="00AD4CA2">
              <w:rPr>
                <w:rFonts w:cs="Calibri"/>
                <w:bCs/>
                <w:color w:val="000000"/>
                <w:sz w:val="20"/>
                <w:szCs w:val="20"/>
                <w:lang w:eastAsia="pl-PL"/>
              </w:rPr>
              <w:t>38</w:t>
            </w:r>
            <w:r w:rsidR="00184E8A" w:rsidRPr="003F2A5A">
              <w:rPr>
                <w:rFonts w:cs="Calibri"/>
                <w:bCs/>
                <w:color w:val="000000"/>
                <w:sz w:val="20"/>
                <w:szCs w:val="20"/>
                <w:lang w:eastAsia="pl-PL"/>
              </w:rPr>
              <w:t xml:space="preserve"> </w:t>
            </w:r>
            <w:r w:rsidRPr="00A368CA">
              <w:rPr>
                <w:rFonts w:cs="Calibri"/>
                <w:bCs/>
                <w:color w:val="000000"/>
                <w:sz w:val="20"/>
                <w:szCs w:val="20"/>
                <w:lang w:eastAsia="pl-PL"/>
              </w:rPr>
              <w:t>mld PLN na dofinansowanie inwestycji w regionach słabiej rozwiniętych, a 0,2</w:t>
            </w:r>
            <w:r w:rsidR="003B1257">
              <w:rPr>
                <w:rFonts w:cs="Calibri"/>
                <w:bCs/>
                <w:color w:val="000000"/>
                <w:sz w:val="20"/>
                <w:szCs w:val="20"/>
                <w:lang w:eastAsia="pl-PL"/>
              </w:rPr>
              <w:t>4</w:t>
            </w:r>
            <w:r w:rsidRPr="005B42CB">
              <w:rPr>
                <w:rFonts w:cs="Calibri"/>
                <w:bCs/>
                <w:color w:val="000000"/>
                <w:sz w:val="20"/>
                <w:szCs w:val="20"/>
                <w:lang w:eastAsia="pl-PL"/>
              </w:rPr>
              <w:t xml:space="preserve"> mld PLN d</w:t>
            </w:r>
            <w:r w:rsidRPr="001A19D3">
              <w:rPr>
                <w:rFonts w:cs="Calibri"/>
                <w:bCs/>
                <w:color w:val="000000"/>
                <w:sz w:val="20"/>
                <w:szCs w:val="20"/>
                <w:lang w:eastAsia="pl-PL"/>
              </w:rPr>
              <w:t xml:space="preserve">la województwa mazowieckiego (wg kursu PLN/EUR: </w:t>
            </w:r>
            <w:r w:rsidR="00184E8A" w:rsidRPr="00D014C2">
              <w:rPr>
                <w:rFonts w:cs="Calibri"/>
                <w:bCs/>
                <w:color w:val="000000"/>
                <w:sz w:val="20"/>
                <w:szCs w:val="20"/>
                <w:lang w:eastAsia="pl-PL"/>
              </w:rPr>
              <w:t>3,</w:t>
            </w:r>
            <w:r w:rsidR="003B1257">
              <w:rPr>
                <w:rFonts w:cs="Calibri"/>
                <w:bCs/>
                <w:color w:val="000000"/>
                <w:sz w:val="20"/>
                <w:szCs w:val="20"/>
                <w:lang w:eastAsia="pl-PL"/>
              </w:rPr>
              <w:t>5</w:t>
            </w:r>
            <w:r w:rsidR="009230C2">
              <w:rPr>
                <w:rFonts w:cs="Calibri"/>
                <w:bCs/>
                <w:color w:val="000000"/>
                <w:sz w:val="20"/>
                <w:szCs w:val="20"/>
                <w:lang w:eastAsia="pl-PL"/>
              </w:rPr>
              <w:t>5</w:t>
            </w:r>
            <w:r w:rsidRPr="00D014C2">
              <w:rPr>
                <w:rFonts w:cs="Calibri"/>
                <w:bCs/>
                <w:color w:val="000000"/>
                <w:sz w:val="20"/>
                <w:szCs w:val="20"/>
                <w:lang w:eastAsia="pl-PL"/>
              </w:rPr>
              <w:t xml:space="preserve">). </w:t>
            </w:r>
            <w:r w:rsidR="009B5771" w:rsidRPr="00D014C2">
              <w:rPr>
                <w:rFonts w:cs="Calibri"/>
                <w:bCs/>
                <w:color w:val="000000"/>
                <w:sz w:val="20"/>
                <w:szCs w:val="20"/>
                <w:lang w:eastAsia="pl-PL"/>
              </w:rPr>
              <w:t>Jednocześnie z</w:t>
            </w:r>
            <w:r w:rsidR="009B5771" w:rsidRPr="00227FE0">
              <w:rPr>
                <w:sz w:val="20"/>
                <w:szCs w:val="20"/>
              </w:rPr>
              <w:t xml:space="preserve"> punktu widzenia prac nad wskaźnikami w programach operacyjnych na lata 2014-2020 należy mieć dodatkowo na uwadze, że poszczególne płatności (koszty) nie zostaną zrealizowane (poniesione) w jednym konkretnym momencie</w:t>
            </w:r>
            <w:r w:rsidR="009B5771" w:rsidRPr="00227FE0">
              <w:rPr>
                <w:rStyle w:val="Odwoanieprzypisudolnego"/>
                <w:sz w:val="20"/>
                <w:szCs w:val="20"/>
              </w:rPr>
              <w:footnoteReference w:id="9"/>
            </w:r>
            <w:r w:rsidR="009B5771" w:rsidRPr="00227FE0">
              <w:rPr>
                <w:sz w:val="20"/>
                <w:szCs w:val="20"/>
              </w:rPr>
              <w:t xml:space="preserve">. W ostatniej kolumnie tabeli </w:t>
            </w:r>
            <w:r w:rsidR="002D33C8">
              <w:rPr>
                <w:sz w:val="20"/>
                <w:szCs w:val="20"/>
              </w:rPr>
              <w:lastRenderedPageBreak/>
              <w:t>6</w:t>
            </w:r>
            <w:r w:rsidR="009B5771" w:rsidRPr="00227FE0">
              <w:rPr>
                <w:sz w:val="20"/>
                <w:szCs w:val="20"/>
              </w:rPr>
              <w:t xml:space="preserve"> </w:t>
            </w:r>
            <w:r w:rsidR="009B5771" w:rsidRPr="00D014C2">
              <w:rPr>
                <w:sz w:val="20"/>
                <w:szCs w:val="20"/>
              </w:rPr>
              <w:t xml:space="preserve">obliczono </w:t>
            </w:r>
            <w:r w:rsidR="00EC2247">
              <w:rPr>
                <w:sz w:val="20"/>
                <w:szCs w:val="20"/>
              </w:rPr>
              <w:t xml:space="preserve">zatem </w:t>
            </w:r>
            <w:r w:rsidR="009B5771" w:rsidRPr="00D014C2">
              <w:rPr>
                <w:sz w:val="20"/>
                <w:szCs w:val="20"/>
              </w:rPr>
              <w:t>dostępną alokację</w:t>
            </w:r>
            <w:r w:rsidR="009B5771" w:rsidRPr="00FC67B3">
              <w:rPr>
                <w:sz w:val="20"/>
                <w:szCs w:val="20"/>
              </w:rPr>
              <w:t xml:space="preserve"> w cenach stałych z 2014 r. (siła nabywcza środków wydanych w przyszłości będzie mniejsza niż obecnie)</w:t>
            </w:r>
            <w:r w:rsidR="009B5771" w:rsidRPr="00D014C2">
              <w:rPr>
                <w:rStyle w:val="Odwoanieprzypisudolnego"/>
                <w:sz w:val="20"/>
                <w:szCs w:val="20"/>
              </w:rPr>
              <w:footnoteReference w:id="10"/>
            </w:r>
            <w:r w:rsidR="009B5771" w:rsidRPr="00D014C2">
              <w:rPr>
                <w:sz w:val="20"/>
                <w:szCs w:val="20"/>
              </w:rPr>
              <w:t>.</w:t>
            </w:r>
          </w:p>
          <w:p w:rsidR="0043575D" w:rsidRPr="00CC3C1B" w:rsidRDefault="0043575D" w:rsidP="00977ACF">
            <w:pPr>
              <w:autoSpaceDE w:val="0"/>
              <w:autoSpaceDN w:val="0"/>
              <w:adjustRightInd w:val="0"/>
              <w:spacing w:after="0" w:line="240" w:lineRule="auto"/>
              <w:jc w:val="both"/>
              <w:rPr>
                <w:rFonts w:cs="Calibri"/>
                <w:b/>
                <w:bCs/>
                <w:color w:val="000000"/>
                <w:sz w:val="20"/>
                <w:szCs w:val="20"/>
                <w:lang w:eastAsia="pl-PL"/>
              </w:rPr>
            </w:pPr>
          </w:p>
          <w:p w:rsidR="00DE0F26" w:rsidRPr="005A36AC" w:rsidRDefault="00DE0F26" w:rsidP="00BB5A64">
            <w:pPr>
              <w:pStyle w:val="Legenda"/>
              <w:keepNext/>
            </w:pPr>
            <w:bookmarkStart w:id="11" w:name="_Toc401826759"/>
            <w:r w:rsidRPr="005A36AC">
              <w:t xml:space="preserve">Tabela </w:t>
            </w:r>
            <w:r w:rsidR="00050B55">
              <w:fldChar w:fldCharType="begin"/>
            </w:r>
            <w:r w:rsidR="00050B55">
              <w:instrText xml:space="preserve"> SEQ Tabela \* ARABIC </w:instrText>
            </w:r>
            <w:r w:rsidR="00050B55">
              <w:fldChar w:fldCharType="separate"/>
            </w:r>
            <w:r w:rsidR="002570DE">
              <w:rPr>
                <w:noProof/>
              </w:rPr>
              <w:t>6</w:t>
            </w:r>
            <w:r w:rsidR="00050B55">
              <w:rPr>
                <w:noProof/>
              </w:rPr>
              <w:fldChar w:fldCharType="end"/>
            </w:r>
            <w:r w:rsidRPr="005A36AC">
              <w:t xml:space="preserve"> - Alokacja w ramach </w:t>
            </w:r>
            <w:r w:rsidR="00317FC4">
              <w:t>o</w:t>
            </w:r>
            <w:r w:rsidR="00317FC4" w:rsidRPr="005A36AC">
              <w:t xml:space="preserve">si </w:t>
            </w:r>
            <w:r w:rsidR="00317FC4">
              <w:t>p</w:t>
            </w:r>
            <w:r w:rsidR="00317FC4" w:rsidRPr="005A36AC">
              <w:t xml:space="preserve">riorytetowej </w:t>
            </w:r>
            <w:r w:rsidR="00264402">
              <w:t>I</w:t>
            </w:r>
            <w:r w:rsidR="00264402" w:rsidRPr="005A36AC">
              <w:t xml:space="preserve"> </w:t>
            </w:r>
            <w:r w:rsidRPr="005A36AC">
              <w:t>POPC</w:t>
            </w:r>
            <w:bookmarkEnd w:id="11"/>
          </w:p>
          <w:tbl>
            <w:tblPr>
              <w:tblW w:w="8316" w:type="dxa"/>
              <w:jc w:val="center"/>
              <w:tblCellMar>
                <w:left w:w="70" w:type="dxa"/>
                <w:right w:w="70" w:type="dxa"/>
              </w:tblCellMar>
              <w:tblLook w:val="04A0" w:firstRow="1" w:lastRow="0" w:firstColumn="1" w:lastColumn="0" w:noHBand="0" w:noVBand="1"/>
            </w:tblPr>
            <w:tblGrid>
              <w:gridCol w:w="3940"/>
              <w:gridCol w:w="1424"/>
              <w:gridCol w:w="1476"/>
              <w:gridCol w:w="1476"/>
            </w:tblGrid>
            <w:tr w:rsidR="009B5771" w:rsidRPr="00490149" w:rsidTr="00227FE0">
              <w:trPr>
                <w:trHeight w:val="630"/>
                <w:jc w:val="center"/>
              </w:trPr>
              <w:tc>
                <w:tcPr>
                  <w:tcW w:w="3940" w:type="dxa"/>
                  <w:tcBorders>
                    <w:top w:val="double" w:sz="6" w:space="0" w:color="auto"/>
                    <w:left w:val="double" w:sz="6" w:space="0" w:color="auto"/>
                    <w:bottom w:val="double" w:sz="6" w:space="0" w:color="3F3F3F"/>
                    <w:right w:val="double" w:sz="6" w:space="0" w:color="000000"/>
                  </w:tcBorders>
                  <w:shd w:val="clear" w:color="auto" w:fill="auto"/>
                  <w:vAlign w:val="bottom"/>
                </w:tcPr>
                <w:p w:rsidR="009B5771" w:rsidRPr="00490149" w:rsidRDefault="009B5771" w:rsidP="00F27E29">
                  <w:pPr>
                    <w:spacing w:after="0" w:line="240" w:lineRule="auto"/>
                    <w:rPr>
                      <w:rFonts w:eastAsia="Times New Roman" w:cs="Calibri"/>
                      <w:b/>
                      <w:bCs/>
                      <w:color w:val="000000"/>
                      <w:lang w:eastAsia="pl-PL"/>
                    </w:rPr>
                  </w:pPr>
                  <w:r w:rsidRPr="00490149">
                    <w:rPr>
                      <w:rFonts w:eastAsia="Times New Roman" w:cs="Calibri"/>
                      <w:b/>
                      <w:bCs/>
                      <w:color w:val="000000"/>
                      <w:lang w:eastAsia="pl-PL"/>
                    </w:rPr>
                    <w:t xml:space="preserve">Oś Priorytetowa 1 - Powszechny dostęp do szybkiego </w:t>
                  </w:r>
                  <w:r>
                    <w:rPr>
                      <w:rFonts w:eastAsia="Times New Roman" w:cs="Calibri"/>
                      <w:b/>
                      <w:bCs/>
                      <w:color w:val="000000"/>
                      <w:lang w:eastAsia="pl-PL"/>
                    </w:rPr>
                    <w:t>I</w:t>
                  </w:r>
                  <w:r w:rsidRPr="00490149">
                    <w:rPr>
                      <w:rFonts w:eastAsia="Times New Roman" w:cs="Calibri"/>
                      <w:b/>
                      <w:bCs/>
                      <w:color w:val="000000"/>
                      <w:lang w:eastAsia="pl-PL"/>
                    </w:rPr>
                    <w:t>nternetu</w:t>
                  </w:r>
                </w:p>
              </w:tc>
              <w:tc>
                <w:tcPr>
                  <w:tcW w:w="1424" w:type="dxa"/>
                  <w:tcBorders>
                    <w:top w:val="double" w:sz="6" w:space="0" w:color="auto"/>
                    <w:left w:val="nil"/>
                    <w:bottom w:val="double" w:sz="6" w:space="0" w:color="3F3F3F"/>
                    <w:right w:val="double" w:sz="6" w:space="0" w:color="auto"/>
                  </w:tcBorders>
                  <w:shd w:val="clear" w:color="auto" w:fill="auto"/>
                  <w:vAlign w:val="bottom"/>
                </w:tcPr>
                <w:p w:rsidR="009B5771" w:rsidRPr="00227FE0" w:rsidRDefault="009B5771" w:rsidP="00977ACF">
                  <w:pPr>
                    <w:spacing w:after="0" w:line="240" w:lineRule="auto"/>
                    <w:jc w:val="center"/>
                    <w:rPr>
                      <w:rFonts w:eastAsia="Times New Roman" w:cs="Calibri"/>
                      <w:color w:val="000000"/>
                      <w:sz w:val="20"/>
                      <w:szCs w:val="20"/>
                      <w:lang w:eastAsia="pl-PL"/>
                    </w:rPr>
                  </w:pPr>
                  <w:r w:rsidRPr="00227FE0">
                    <w:rPr>
                      <w:rFonts w:eastAsia="Times New Roman" w:cs="Calibri"/>
                      <w:color w:val="000000"/>
                      <w:sz w:val="20"/>
                      <w:szCs w:val="20"/>
                      <w:lang w:eastAsia="pl-PL"/>
                    </w:rPr>
                    <w:t>Wsparcie UE</w:t>
                  </w:r>
                  <w:r w:rsidRPr="00227FE0">
                    <w:rPr>
                      <w:rFonts w:eastAsia="Times New Roman" w:cs="Calibri"/>
                      <w:color w:val="000000"/>
                      <w:sz w:val="20"/>
                      <w:szCs w:val="20"/>
                      <w:lang w:eastAsia="pl-PL"/>
                    </w:rPr>
                    <w:br/>
                    <w:t>EUR</w:t>
                  </w:r>
                </w:p>
              </w:tc>
              <w:tc>
                <w:tcPr>
                  <w:tcW w:w="1476" w:type="dxa"/>
                  <w:tcBorders>
                    <w:top w:val="double" w:sz="6" w:space="0" w:color="auto"/>
                    <w:left w:val="double" w:sz="6" w:space="0" w:color="auto"/>
                    <w:bottom w:val="double" w:sz="6" w:space="0" w:color="3F3F3F"/>
                    <w:right w:val="double" w:sz="6" w:space="0" w:color="auto"/>
                  </w:tcBorders>
                  <w:shd w:val="clear" w:color="auto" w:fill="auto"/>
                  <w:vAlign w:val="bottom"/>
                </w:tcPr>
                <w:p w:rsidR="009B5771" w:rsidRPr="00227FE0" w:rsidRDefault="009B5771" w:rsidP="00977ACF">
                  <w:pPr>
                    <w:spacing w:after="0" w:line="240" w:lineRule="auto"/>
                    <w:jc w:val="center"/>
                    <w:rPr>
                      <w:rFonts w:eastAsia="Times New Roman" w:cs="Calibri"/>
                      <w:color w:val="000000"/>
                      <w:sz w:val="20"/>
                      <w:szCs w:val="20"/>
                      <w:lang w:eastAsia="pl-PL"/>
                    </w:rPr>
                  </w:pPr>
                  <w:r w:rsidRPr="00227FE0">
                    <w:rPr>
                      <w:rFonts w:eastAsia="Times New Roman" w:cs="Calibri"/>
                      <w:color w:val="000000"/>
                      <w:sz w:val="20"/>
                      <w:szCs w:val="20"/>
                      <w:lang w:eastAsia="pl-PL"/>
                    </w:rPr>
                    <w:t>Wsparcie UE</w:t>
                  </w:r>
                  <w:r w:rsidRPr="00227FE0">
                    <w:rPr>
                      <w:rFonts w:eastAsia="Times New Roman" w:cs="Calibri"/>
                      <w:color w:val="000000"/>
                      <w:sz w:val="20"/>
                      <w:szCs w:val="20"/>
                      <w:lang w:eastAsia="pl-PL"/>
                    </w:rPr>
                    <w:br/>
                    <w:t>PLN</w:t>
                  </w:r>
                </w:p>
              </w:tc>
              <w:tc>
                <w:tcPr>
                  <w:tcW w:w="1476" w:type="dxa"/>
                  <w:tcBorders>
                    <w:top w:val="double" w:sz="6" w:space="0" w:color="auto"/>
                    <w:left w:val="double" w:sz="6" w:space="0" w:color="auto"/>
                    <w:bottom w:val="double" w:sz="6" w:space="0" w:color="3F3F3F"/>
                    <w:right w:val="double" w:sz="6" w:space="0" w:color="auto"/>
                  </w:tcBorders>
                  <w:vAlign w:val="bottom"/>
                </w:tcPr>
                <w:p w:rsidR="009B5771" w:rsidRPr="00227FE0" w:rsidRDefault="009B5771" w:rsidP="009B5771">
                  <w:pPr>
                    <w:spacing w:after="0" w:line="240" w:lineRule="auto"/>
                    <w:jc w:val="center"/>
                    <w:rPr>
                      <w:rFonts w:eastAsia="Times New Roman" w:cs="Calibri"/>
                      <w:color w:val="000000"/>
                      <w:sz w:val="20"/>
                      <w:szCs w:val="20"/>
                      <w:lang w:eastAsia="pl-PL"/>
                    </w:rPr>
                  </w:pPr>
                  <w:r w:rsidRPr="00227FE0">
                    <w:rPr>
                      <w:rFonts w:eastAsia="Times New Roman" w:cs="Calibri"/>
                      <w:color w:val="000000"/>
                      <w:sz w:val="20"/>
                      <w:szCs w:val="20"/>
                      <w:lang w:eastAsia="pl-PL"/>
                    </w:rPr>
                    <w:t>Wsparcie UE</w:t>
                  </w:r>
                </w:p>
                <w:p w:rsidR="009B5771" w:rsidRPr="00227FE0" w:rsidRDefault="009B5771" w:rsidP="009B5771">
                  <w:pPr>
                    <w:spacing w:after="0" w:line="240" w:lineRule="auto"/>
                    <w:jc w:val="center"/>
                    <w:rPr>
                      <w:rFonts w:eastAsia="Times New Roman" w:cs="Calibri"/>
                      <w:color w:val="000000"/>
                      <w:sz w:val="20"/>
                      <w:szCs w:val="20"/>
                      <w:lang w:eastAsia="pl-PL"/>
                    </w:rPr>
                  </w:pPr>
                  <w:r w:rsidRPr="00227FE0">
                    <w:rPr>
                      <w:rFonts w:eastAsia="Times New Roman" w:cs="Calibri"/>
                      <w:color w:val="000000"/>
                      <w:sz w:val="20"/>
                      <w:szCs w:val="20"/>
                      <w:lang w:eastAsia="pl-PL"/>
                    </w:rPr>
                    <w:t>PLN w cenach stałych z 2014 r.</w:t>
                  </w:r>
                </w:p>
              </w:tc>
            </w:tr>
            <w:tr w:rsidR="009B5771" w:rsidRPr="00490149" w:rsidTr="00227FE0">
              <w:trPr>
                <w:trHeight w:val="330"/>
                <w:jc w:val="center"/>
              </w:trPr>
              <w:tc>
                <w:tcPr>
                  <w:tcW w:w="3940" w:type="dxa"/>
                  <w:tcBorders>
                    <w:top w:val="double" w:sz="6" w:space="0" w:color="3F3F3F"/>
                    <w:left w:val="double" w:sz="6" w:space="0" w:color="auto"/>
                    <w:bottom w:val="double" w:sz="6" w:space="0" w:color="auto"/>
                    <w:right w:val="double" w:sz="6" w:space="0" w:color="3F3F3F"/>
                  </w:tcBorders>
                  <w:shd w:val="clear" w:color="000000" w:fill="DCE6F1"/>
                  <w:noWrap/>
                  <w:vAlign w:val="bottom"/>
                </w:tcPr>
                <w:p w:rsidR="009B5771" w:rsidRPr="00490149" w:rsidRDefault="009B5771" w:rsidP="00977ACF">
                  <w:pPr>
                    <w:spacing w:after="0" w:line="240" w:lineRule="auto"/>
                    <w:rPr>
                      <w:rFonts w:eastAsia="Times New Roman" w:cs="Calibri"/>
                      <w:lang w:eastAsia="pl-PL"/>
                    </w:rPr>
                  </w:pPr>
                  <w:r w:rsidRPr="00490149">
                    <w:rPr>
                      <w:rFonts w:eastAsia="Times New Roman" w:cs="Calibri"/>
                      <w:lang w:eastAsia="pl-PL"/>
                    </w:rPr>
                    <w:t>Regiony słabiej rozwinięte</w:t>
                  </w:r>
                </w:p>
              </w:tc>
              <w:tc>
                <w:tcPr>
                  <w:tcW w:w="1424" w:type="dxa"/>
                  <w:tcBorders>
                    <w:top w:val="nil"/>
                    <w:left w:val="nil"/>
                    <w:bottom w:val="double" w:sz="6" w:space="0" w:color="3F3F3F"/>
                    <w:right w:val="double" w:sz="6" w:space="0" w:color="auto"/>
                  </w:tcBorders>
                  <w:shd w:val="clear" w:color="000000" w:fill="DCE6F1"/>
                  <w:noWrap/>
                  <w:vAlign w:val="bottom"/>
                </w:tcPr>
                <w:p w:rsidR="009B5771" w:rsidRPr="00490149" w:rsidRDefault="009B5771" w:rsidP="00977ACF">
                  <w:pPr>
                    <w:spacing w:after="0" w:line="240" w:lineRule="auto"/>
                    <w:jc w:val="right"/>
                    <w:rPr>
                      <w:rFonts w:eastAsia="Times New Roman" w:cs="Calibri"/>
                      <w:lang w:eastAsia="pl-PL"/>
                    </w:rPr>
                  </w:pPr>
                  <w:r w:rsidRPr="00490149">
                    <w:rPr>
                      <w:rFonts w:eastAsia="Times New Roman" w:cs="Calibri"/>
                      <w:lang w:eastAsia="pl-PL"/>
                    </w:rPr>
                    <w:t>951 824 737</w:t>
                  </w:r>
                </w:p>
              </w:tc>
              <w:tc>
                <w:tcPr>
                  <w:tcW w:w="1476" w:type="dxa"/>
                  <w:tcBorders>
                    <w:top w:val="nil"/>
                    <w:left w:val="double" w:sz="6" w:space="0" w:color="3F3F3F"/>
                    <w:bottom w:val="double" w:sz="6" w:space="0" w:color="3F3F3F"/>
                    <w:right w:val="double" w:sz="6" w:space="0" w:color="auto"/>
                  </w:tcBorders>
                  <w:shd w:val="clear" w:color="000000" w:fill="DCE6F1"/>
                  <w:noWrap/>
                  <w:vAlign w:val="bottom"/>
                </w:tcPr>
                <w:p w:rsidR="009B5771" w:rsidRPr="00597BF5" w:rsidRDefault="009230C2" w:rsidP="0019047E">
                  <w:pPr>
                    <w:spacing w:after="0" w:line="240" w:lineRule="auto"/>
                    <w:jc w:val="right"/>
                    <w:rPr>
                      <w:rFonts w:eastAsia="Times New Roman" w:cs="Calibri"/>
                      <w:bCs/>
                      <w:lang w:eastAsia="pl-PL"/>
                    </w:rPr>
                  </w:pPr>
                  <w:r w:rsidRPr="00597BF5">
                    <w:rPr>
                      <w:rFonts w:eastAsia="Times New Roman" w:cs="Calibri"/>
                      <w:bCs/>
                      <w:lang w:eastAsia="pl-PL"/>
                    </w:rPr>
                    <w:t>3 37</w:t>
                  </w:r>
                  <w:r w:rsidR="00811596">
                    <w:rPr>
                      <w:rFonts w:eastAsia="Times New Roman" w:cs="Calibri"/>
                      <w:bCs/>
                      <w:lang w:eastAsia="pl-PL"/>
                    </w:rPr>
                    <w:t>6 133 817</w:t>
                  </w:r>
                  <w:r w:rsidRPr="00597BF5">
                    <w:rPr>
                      <w:rFonts w:eastAsia="Times New Roman" w:cs="Calibri"/>
                      <w:bCs/>
                      <w:lang w:eastAsia="pl-PL"/>
                    </w:rPr>
                    <w:t xml:space="preserve"> </w:t>
                  </w:r>
                </w:p>
              </w:tc>
              <w:tc>
                <w:tcPr>
                  <w:tcW w:w="1476" w:type="dxa"/>
                  <w:tcBorders>
                    <w:top w:val="nil"/>
                    <w:left w:val="double" w:sz="6" w:space="0" w:color="3F3F3F"/>
                    <w:bottom w:val="double" w:sz="6" w:space="0" w:color="3F3F3F"/>
                    <w:right w:val="double" w:sz="6" w:space="0" w:color="auto"/>
                  </w:tcBorders>
                  <w:shd w:val="clear" w:color="000000" w:fill="DCE6F1"/>
                  <w:vAlign w:val="bottom"/>
                </w:tcPr>
                <w:p w:rsidR="009B5771" w:rsidRPr="00490149" w:rsidRDefault="009230C2" w:rsidP="0058720B">
                  <w:pPr>
                    <w:spacing w:after="0" w:line="240" w:lineRule="auto"/>
                    <w:jc w:val="right"/>
                    <w:rPr>
                      <w:rFonts w:eastAsia="Times New Roman" w:cs="Calibri"/>
                      <w:b/>
                      <w:bCs/>
                      <w:lang w:eastAsia="pl-PL"/>
                    </w:rPr>
                  </w:pPr>
                  <w:r w:rsidRPr="009230C2">
                    <w:rPr>
                      <w:rFonts w:eastAsia="Times New Roman" w:cs="Calibri"/>
                      <w:b/>
                      <w:bCs/>
                      <w:lang w:eastAsia="pl-PL"/>
                    </w:rPr>
                    <w:t>3 049 761 566</w:t>
                  </w:r>
                </w:p>
              </w:tc>
            </w:tr>
            <w:tr w:rsidR="009B5771" w:rsidRPr="00490149" w:rsidTr="00227FE0">
              <w:trPr>
                <w:trHeight w:val="330"/>
                <w:jc w:val="center"/>
              </w:trPr>
              <w:tc>
                <w:tcPr>
                  <w:tcW w:w="3940" w:type="dxa"/>
                  <w:tcBorders>
                    <w:top w:val="double" w:sz="6" w:space="0" w:color="auto"/>
                    <w:left w:val="double" w:sz="6" w:space="0" w:color="auto"/>
                    <w:bottom w:val="double" w:sz="6" w:space="0" w:color="auto"/>
                    <w:right w:val="double" w:sz="6" w:space="0" w:color="3F3F3F"/>
                  </w:tcBorders>
                  <w:shd w:val="clear" w:color="000000" w:fill="95B3D7"/>
                  <w:noWrap/>
                  <w:vAlign w:val="bottom"/>
                </w:tcPr>
                <w:p w:rsidR="009B5771" w:rsidRPr="00490149" w:rsidRDefault="009B5771" w:rsidP="00977ACF">
                  <w:pPr>
                    <w:spacing w:after="0" w:line="240" w:lineRule="auto"/>
                    <w:rPr>
                      <w:rFonts w:eastAsia="Times New Roman" w:cs="Calibri"/>
                      <w:lang w:eastAsia="pl-PL"/>
                    </w:rPr>
                  </w:pPr>
                  <w:r w:rsidRPr="00490149">
                    <w:rPr>
                      <w:rFonts w:eastAsia="Times New Roman" w:cs="Calibri"/>
                      <w:lang w:eastAsia="pl-PL"/>
                    </w:rPr>
                    <w:t>Regiony lepiej rozwinięte</w:t>
                  </w:r>
                </w:p>
              </w:tc>
              <w:tc>
                <w:tcPr>
                  <w:tcW w:w="1424" w:type="dxa"/>
                  <w:tcBorders>
                    <w:top w:val="nil"/>
                    <w:left w:val="nil"/>
                    <w:bottom w:val="double" w:sz="6" w:space="0" w:color="3F3F3F"/>
                    <w:right w:val="double" w:sz="6" w:space="0" w:color="auto"/>
                  </w:tcBorders>
                  <w:shd w:val="clear" w:color="000000" w:fill="95B3D7"/>
                  <w:noWrap/>
                  <w:vAlign w:val="bottom"/>
                </w:tcPr>
                <w:p w:rsidR="009B5771" w:rsidRPr="00490149" w:rsidRDefault="009B5771" w:rsidP="00977ACF">
                  <w:pPr>
                    <w:spacing w:after="0" w:line="240" w:lineRule="auto"/>
                    <w:jc w:val="right"/>
                    <w:rPr>
                      <w:rFonts w:eastAsia="Times New Roman" w:cs="Calibri"/>
                      <w:lang w:eastAsia="pl-PL"/>
                    </w:rPr>
                  </w:pPr>
                  <w:r w:rsidRPr="00490149">
                    <w:rPr>
                      <w:rFonts w:eastAsia="Times New Roman" w:cs="Calibri"/>
                      <w:lang w:eastAsia="pl-PL"/>
                    </w:rPr>
                    <w:t>68 397 915</w:t>
                  </w:r>
                </w:p>
              </w:tc>
              <w:tc>
                <w:tcPr>
                  <w:tcW w:w="1476" w:type="dxa"/>
                  <w:tcBorders>
                    <w:top w:val="nil"/>
                    <w:left w:val="double" w:sz="6" w:space="0" w:color="3F3F3F"/>
                    <w:bottom w:val="double" w:sz="6" w:space="0" w:color="3F3F3F"/>
                    <w:right w:val="double" w:sz="6" w:space="0" w:color="auto"/>
                  </w:tcBorders>
                  <w:shd w:val="clear" w:color="000000" w:fill="95B3D7"/>
                  <w:noWrap/>
                  <w:vAlign w:val="bottom"/>
                </w:tcPr>
                <w:p w:rsidR="009B5771" w:rsidRPr="00597BF5" w:rsidRDefault="009230C2" w:rsidP="0019047E">
                  <w:pPr>
                    <w:spacing w:after="0" w:line="240" w:lineRule="auto"/>
                    <w:jc w:val="right"/>
                    <w:rPr>
                      <w:rFonts w:eastAsia="Times New Roman" w:cs="Calibri"/>
                      <w:bCs/>
                      <w:lang w:eastAsia="pl-PL"/>
                    </w:rPr>
                  </w:pPr>
                  <w:r w:rsidRPr="00597BF5">
                    <w:rPr>
                      <w:rFonts w:eastAsia="Times New Roman" w:cs="Calibri"/>
                      <w:bCs/>
                      <w:lang w:eastAsia="pl-PL"/>
                    </w:rPr>
                    <w:t>242</w:t>
                  </w:r>
                  <w:r w:rsidR="00811596">
                    <w:rPr>
                      <w:rFonts w:eastAsia="Times New Roman" w:cs="Calibri"/>
                      <w:bCs/>
                      <w:lang w:eastAsia="pl-PL"/>
                    </w:rPr>
                    <w:t> 608 229</w:t>
                  </w:r>
                </w:p>
              </w:tc>
              <w:tc>
                <w:tcPr>
                  <w:tcW w:w="1476" w:type="dxa"/>
                  <w:tcBorders>
                    <w:top w:val="nil"/>
                    <w:left w:val="double" w:sz="6" w:space="0" w:color="3F3F3F"/>
                    <w:bottom w:val="double" w:sz="6" w:space="0" w:color="3F3F3F"/>
                    <w:right w:val="double" w:sz="6" w:space="0" w:color="auto"/>
                  </w:tcBorders>
                  <w:shd w:val="clear" w:color="000000" w:fill="95B3D7"/>
                  <w:vAlign w:val="bottom"/>
                </w:tcPr>
                <w:p w:rsidR="009B5771" w:rsidRDefault="009230C2" w:rsidP="0058720B">
                  <w:pPr>
                    <w:spacing w:after="0" w:line="240" w:lineRule="auto"/>
                    <w:jc w:val="right"/>
                    <w:rPr>
                      <w:rFonts w:eastAsia="Times New Roman" w:cs="Calibri"/>
                      <w:b/>
                      <w:bCs/>
                      <w:lang w:eastAsia="pl-PL"/>
                    </w:rPr>
                  </w:pPr>
                  <w:r w:rsidRPr="009230C2">
                    <w:rPr>
                      <w:rFonts w:eastAsia="Times New Roman" w:cs="Calibri"/>
                      <w:b/>
                      <w:bCs/>
                      <w:lang w:eastAsia="pl-PL"/>
                    </w:rPr>
                    <w:t>219 155 191</w:t>
                  </w:r>
                </w:p>
              </w:tc>
            </w:tr>
            <w:tr w:rsidR="009B5771" w:rsidRPr="00490149" w:rsidTr="00227FE0">
              <w:trPr>
                <w:trHeight w:val="330"/>
                <w:jc w:val="center"/>
              </w:trPr>
              <w:tc>
                <w:tcPr>
                  <w:tcW w:w="3940" w:type="dxa"/>
                  <w:tcBorders>
                    <w:top w:val="double" w:sz="6" w:space="0" w:color="auto"/>
                    <w:left w:val="double" w:sz="6" w:space="0" w:color="auto"/>
                    <w:bottom w:val="double" w:sz="6" w:space="0" w:color="auto"/>
                    <w:right w:val="double" w:sz="6" w:space="0" w:color="3F3F3F"/>
                  </w:tcBorders>
                  <w:shd w:val="clear" w:color="auto" w:fill="auto"/>
                  <w:vAlign w:val="bottom"/>
                </w:tcPr>
                <w:p w:rsidR="009B5771" w:rsidRPr="00490149" w:rsidRDefault="009B5771" w:rsidP="00977ACF">
                  <w:pPr>
                    <w:spacing w:after="0" w:line="240" w:lineRule="auto"/>
                    <w:rPr>
                      <w:rFonts w:eastAsia="Times New Roman" w:cs="Calibri"/>
                      <w:color w:val="000000"/>
                      <w:lang w:eastAsia="pl-PL"/>
                    </w:rPr>
                  </w:pPr>
                  <w:r w:rsidRPr="00490149">
                    <w:rPr>
                      <w:rFonts w:eastAsia="Times New Roman" w:cs="Calibri"/>
                      <w:color w:val="000000"/>
                      <w:lang w:eastAsia="pl-PL"/>
                    </w:rPr>
                    <w:t>Razem</w:t>
                  </w:r>
                </w:p>
              </w:tc>
              <w:tc>
                <w:tcPr>
                  <w:tcW w:w="1424" w:type="dxa"/>
                  <w:tcBorders>
                    <w:top w:val="nil"/>
                    <w:left w:val="nil"/>
                    <w:bottom w:val="double" w:sz="6" w:space="0" w:color="3F3F3F"/>
                    <w:right w:val="double" w:sz="6" w:space="0" w:color="auto"/>
                  </w:tcBorders>
                  <w:shd w:val="clear" w:color="000000" w:fill="FFFFFF"/>
                  <w:noWrap/>
                  <w:vAlign w:val="bottom"/>
                </w:tcPr>
                <w:p w:rsidR="009B5771" w:rsidRPr="00490149" w:rsidRDefault="009B5771" w:rsidP="00977ACF">
                  <w:pPr>
                    <w:spacing w:after="0" w:line="240" w:lineRule="auto"/>
                    <w:jc w:val="right"/>
                    <w:rPr>
                      <w:rFonts w:eastAsia="Times New Roman" w:cs="Calibri"/>
                      <w:lang w:eastAsia="pl-PL"/>
                    </w:rPr>
                  </w:pPr>
                  <w:r w:rsidRPr="00490149">
                    <w:rPr>
                      <w:rFonts w:eastAsia="Times New Roman" w:cs="Calibri"/>
                      <w:lang w:eastAsia="pl-PL"/>
                    </w:rPr>
                    <w:t>1 020 222 652</w:t>
                  </w:r>
                </w:p>
              </w:tc>
              <w:tc>
                <w:tcPr>
                  <w:tcW w:w="1476" w:type="dxa"/>
                  <w:tcBorders>
                    <w:top w:val="nil"/>
                    <w:left w:val="double" w:sz="6" w:space="0" w:color="3F3F3F"/>
                    <w:bottom w:val="double" w:sz="6" w:space="0" w:color="auto"/>
                    <w:right w:val="double" w:sz="6" w:space="0" w:color="auto"/>
                  </w:tcBorders>
                  <w:shd w:val="clear" w:color="000000" w:fill="FFFFFF"/>
                  <w:noWrap/>
                  <w:vAlign w:val="bottom"/>
                </w:tcPr>
                <w:p w:rsidR="009B5771" w:rsidRPr="00490149" w:rsidRDefault="009230C2" w:rsidP="0019047E">
                  <w:pPr>
                    <w:spacing w:after="0" w:line="240" w:lineRule="auto"/>
                    <w:jc w:val="right"/>
                    <w:rPr>
                      <w:rFonts w:eastAsia="Times New Roman" w:cs="Calibri"/>
                      <w:lang w:eastAsia="pl-PL"/>
                    </w:rPr>
                  </w:pPr>
                  <w:r w:rsidRPr="009230C2">
                    <w:rPr>
                      <w:rFonts w:eastAsia="Times New Roman" w:cs="Calibri"/>
                      <w:lang w:eastAsia="pl-PL"/>
                    </w:rPr>
                    <w:t>3 61</w:t>
                  </w:r>
                  <w:r w:rsidR="00811596">
                    <w:rPr>
                      <w:rFonts w:eastAsia="Times New Roman" w:cs="Calibri"/>
                      <w:lang w:eastAsia="pl-PL"/>
                    </w:rPr>
                    <w:t>8</w:t>
                  </w:r>
                  <w:r w:rsidRPr="009230C2">
                    <w:rPr>
                      <w:rFonts w:eastAsia="Times New Roman" w:cs="Calibri"/>
                      <w:lang w:eastAsia="pl-PL"/>
                    </w:rPr>
                    <w:t xml:space="preserve"> </w:t>
                  </w:r>
                  <w:r w:rsidR="00811596">
                    <w:rPr>
                      <w:rFonts w:eastAsia="Times New Roman" w:cs="Calibri"/>
                      <w:lang w:eastAsia="pl-PL"/>
                    </w:rPr>
                    <w:t>742</w:t>
                  </w:r>
                  <w:r w:rsidRPr="009230C2">
                    <w:rPr>
                      <w:rFonts w:eastAsia="Times New Roman" w:cs="Calibri"/>
                      <w:lang w:eastAsia="pl-PL"/>
                    </w:rPr>
                    <w:t xml:space="preserve"> </w:t>
                  </w:r>
                  <w:r w:rsidR="00811596">
                    <w:rPr>
                      <w:rFonts w:eastAsia="Times New Roman" w:cs="Calibri"/>
                      <w:lang w:eastAsia="pl-PL"/>
                    </w:rPr>
                    <w:t>046</w:t>
                  </w:r>
                </w:p>
              </w:tc>
              <w:tc>
                <w:tcPr>
                  <w:tcW w:w="1476" w:type="dxa"/>
                  <w:tcBorders>
                    <w:top w:val="nil"/>
                    <w:left w:val="double" w:sz="6" w:space="0" w:color="3F3F3F"/>
                    <w:bottom w:val="double" w:sz="6" w:space="0" w:color="auto"/>
                    <w:right w:val="double" w:sz="6" w:space="0" w:color="auto"/>
                  </w:tcBorders>
                  <w:shd w:val="clear" w:color="000000" w:fill="FFFFFF"/>
                  <w:vAlign w:val="bottom"/>
                </w:tcPr>
                <w:p w:rsidR="009B5771" w:rsidRDefault="009230C2" w:rsidP="006730BE">
                  <w:pPr>
                    <w:spacing w:after="0" w:line="240" w:lineRule="auto"/>
                    <w:jc w:val="right"/>
                    <w:rPr>
                      <w:rFonts w:eastAsia="Times New Roman" w:cs="Calibri"/>
                      <w:lang w:eastAsia="pl-PL"/>
                    </w:rPr>
                  </w:pPr>
                  <w:r w:rsidRPr="009230C2">
                    <w:rPr>
                      <w:rFonts w:eastAsia="Times New Roman" w:cs="Calibri"/>
                      <w:lang w:eastAsia="pl-PL"/>
                    </w:rPr>
                    <w:t>3 268 916 757</w:t>
                  </w:r>
                </w:p>
              </w:tc>
            </w:tr>
          </w:tbl>
          <w:p w:rsidR="0043575D" w:rsidRPr="00CC3C1B" w:rsidRDefault="0043575D" w:rsidP="00FD2826">
            <w:pPr>
              <w:autoSpaceDE w:val="0"/>
              <w:autoSpaceDN w:val="0"/>
              <w:adjustRightInd w:val="0"/>
              <w:spacing w:after="0" w:line="240" w:lineRule="auto"/>
              <w:jc w:val="both"/>
              <w:rPr>
                <w:rFonts w:cs="Calibri"/>
                <w:bCs/>
                <w:color w:val="000000"/>
                <w:sz w:val="20"/>
                <w:szCs w:val="20"/>
                <w:lang w:eastAsia="pl-PL"/>
              </w:rPr>
            </w:pPr>
          </w:p>
          <w:p w:rsidR="00FF2163" w:rsidRDefault="0043575D" w:rsidP="00BB5A64">
            <w:pPr>
              <w:autoSpaceDE w:val="0"/>
              <w:autoSpaceDN w:val="0"/>
              <w:adjustRightInd w:val="0"/>
              <w:spacing w:after="0" w:line="240" w:lineRule="auto"/>
              <w:jc w:val="both"/>
              <w:rPr>
                <w:rFonts w:cs="Calibri"/>
                <w:bCs/>
                <w:color w:val="000000"/>
                <w:sz w:val="20"/>
                <w:szCs w:val="20"/>
                <w:lang w:eastAsia="pl-PL"/>
              </w:rPr>
            </w:pPr>
            <w:r w:rsidRPr="00CC3C1B">
              <w:rPr>
                <w:rFonts w:cs="Calibri"/>
                <w:bCs/>
                <w:color w:val="000000"/>
                <w:sz w:val="20"/>
                <w:szCs w:val="20"/>
                <w:lang w:eastAsia="pl-PL"/>
              </w:rPr>
              <w:t xml:space="preserve">Środki te, nie pozwalają zatem na dofinansowanie projektów na wszystkich obszarach nieopłacalnych dla operatorów komercyjnych. Poniżej przedstawiono wyliczenia dotyczące liczby gospodarstw, które dzięki dofinansowaniu z POPC uzyskają możliwość dostępu do sieci o przepustowości co najmniej 30 </w:t>
            </w:r>
            <w:proofErr w:type="spellStart"/>
            <w:r w:rsidRPr="00CC3C1B">
              <w:rPr>
                <w:rFonts w:cs="Calibri"/>
                <w:bCs/>
                <w:color w:val="000000"/>
                <w:sz w:val="20"/>
                <w:szCs w:val="20"/>
                <w:lang w:eastAsia="pl-PL"/>
              </w:rPr>
              <w:t>Mb</w:t>
            </w:r>
            <w:proofErr w:type="spellEnd"/>
            <w:r w:rsidRPr="00CC3C1B">
              <w:rPr>
                <w:rFonts w:cs="Calibri"/>
                <w:bCs/>
                <w:color w:val="000000"/>
                <w:sz w:val="20"/>
                <w:szCs w:val="20"/>
                <w:lang w:eastAsia="pl-PL"/>
              </w:rPr>
              <w:t>/s, w podziale na kategorie regionów.</w:t>
            </w:r>
          </w:p>
          <w:p w:rsidR="00FF2163" w:rsidRPr="00F87908" w:rsidRDefault="00FF2163" w:rsidP="00F87908">
            <w:pPr>
              <w:autoSpaceDE w:val="0"/>
              <w:autoSpaceDN w:val="0"/>
              <w:adjustRightInd w:val="0"/>
              <w:spacing w:after="0" w:line="240" w:lineRule="auto"/>
              <w:jc w:val="both"/>
              <w:rPr>
                <w:rFonts w:cs="Calibri"/>
                <w:b/>
                <w:bCs/>
                <w:color w:val="000000"/>
                <w:sz w:val="20"/>
                <w:szCs w:val="20"/>
                <w:lang w:eastAsia="pl-PL"/>
              </w:rPr>
            </w:pPr>
          </w:p>
          <w:p w:rsidR="00DE0F26" w:rsidRPr="005A36AC" w:rsidRDefault="00DE0F26" w:rsidP="00BB5A64">
            <w:pPr>
              <w:pStyle w:val="Legenda"/>
              <w:keepNext/>
            </w:pPr>
            <w:bookmarkStart w:id="12" w:name="_Toc401826760"/>
            <w:r w:rsidRPr="005A36AC">
              <w:t xml:space="preserve">Tabela </w:t>
            </w:r>
            <w:r w:rsidR="00050B55">
              <w:fldChar w:fldCharType="begin"/>
            </w:r>
            <w:r w:rsidR="00050B55">
              <w:instrText xml:space="preserve"> SEQ Tabela \* ARABIC </w:instrText>
            </w:r>
            <w:r w:rsidR="00050B55">
              <w:fldChar w:fldCharType="separate"/>
            </w:r>
            <w:r w:rsidR="002570DE">
              <w:rPr>
                <w:noProof/>
              </w:rPr>
              <w:t>7</w:t>
            </w:r>
            <w:r w:rsidR="00050B55">
              <w:rPr>
                <w:noProof/>
              </w:rPr>
              <w:fldChar w:fldCharType="end"/>
            </w:r>
            <w:r w:rsidRPr="005A36AC">
              <w:t xml:space="preserve"> - Nakłady niezbędne dla podłączenia do Internetu gospodarstw domowych w regionie lepiej rozwiniętym (w tys. PLN)</w:t>
            </w:r>
            <w:bookmarkEnd w:id="12"/>
          </w:p>
          <w:tbl>
            <w:tblPr>
              <w:tblW w:w="8624" w:type="dxa"/>
              <w:tblCellMar>
                <w:left w:w="70" w:type="dxa"/>
                <w:right w:w="70" w:type="dxa"/>
              </w:tblCellMar>
              <w:tblLook w:val="04A0" w:firstRow="1" w:lastRow="0" w:firstColumn="1" w:lastColumn="0" w:noHBand="0" w:noVBand="1"/>
            </w:tblPr>
            <w:tblGrid>
              <w:gridCol w:w="1320"/>
              <w:gridCol w:w="1420"/>
              <w:gridCol w:w="1320"/>
              <w:gridCol w:w="1604"/>
              <w:gridCol w:w="1300"/>
              <w:gridCol w:w="1660"/>
            </w:tblGrid>
            <w:tr w:rsidR="00FF2163" w:rsidRPr="00FF2163" w:rsidTr="00BB5A64">
              <w:trPr>
                <w:trHeight w:val="2730"/>
              </w:trPr>
              <w:tc>
                <w:tcPr>
                  <w:tcW w:w="1320" w:type="dxa"/>
                  <w:tcBorders>
                    <w:top w:val="double" w:sz="6" w:space="0" w:color="3F3F3F"/>
                    <w:left w:val="double" w:sz="6" w:space="0" w:color="3F3F3F"/>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Kategoria gminy</w:t>
                  </w:r>
                </w:p>
              </w:tc>
              <w:tc>
                <w:tcPr>
                  <w:tcW w:w="142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 xml:space="preserve"> Nakłady łącznie</w:t>
                  </w:r>
                </w:p>
              </w:tc>
              <w:tc>
                <w:tcPr>
                  <w:tcW w:w="132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Dopłata ze środków publicznych</w:t>
                  </w:r>
                </w:p>
              </w:tc>
              <w:tc>
                <w:tcPr>
                  <w:tcW w:w="1604"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Poziom dofinansowania</w:t>
                  </w:r>
                </w:p>
              </w:tc>
              <w:tc>
                <w:tcPr>
                  <w:tcW w:w="130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Liczba ludności do objęcia nową inwestycją w gminie</w:t>
                  </w:r>
                </w:p>
              </w:tc>
              <w:tc>
                <w:tcPr>
                  <w:tcW w:w="166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Liczba gospodarstw domowych do objęcia nową inwestycją w gminie</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B8CCE4"/>
                  <w:noWrap/>
                  <w:vAlign w:val="bottom"/>
                </w:tcPr>
                <w:p w:rsidR="00FF2163" w:rsidRPr="00FF2163" w:rsidRDefault="00EC2247" w:rsidP="00FF2163">
                  <w:pPr>
                    <w:spacing w:after="0" w:line="240" w:lineRule="auto"/>
                    <w:jc w:val="right"/>
                    <w:rPr>
                      <w:rFonts w:eastAsia="Times New Roman" w:cs="Calibri"/>
                      <w:lang w:eastAsia="pl-PL"/>
                    </w:rPr>
                  </w:pPr>
                  <w:r>
                    <w:rPr>
                      <w:rFonts w:eastAsia="Times New Roman" w:cs="Calibri"/>
                      <w:lang w:eastAsia="pl-PL"/>
                    </w:rPr>
                    <w:t xml:space="preserve"> </w:t>
                  </w:r>
                  <w:r w:rsidR="00FF2163" w:rsidRPr="00FF2163">
                    <w:rPr>
                      <w:rFonts w:eastAsia="Times New Roman" w:cs="Calibri"/>
                      <w:lang w:eastAsia="pl-PL"/>
                    </w:rPr>
                    <w:t>1</w:t>
                  </w:r>
                </w:p>
              </w:tc>
              <w:tc>
                <w:tcPr>
                  <w:tcW w:w="14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309 999</w:t>
                  </w:r>
                </w:p>
              </w:tc>
              <w:tc>
                <w:tcPr>
                  <w:tcW w:w="13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w:t>
                  </w:r>
                </w:p>
              </w:tc>
              <w:tc>
                <w:tcPr>
                  <w:tcW w:w="1604"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0,0%</w:t>
                  </w:r>
                </w:p>
              </w:tc>
              <w:tc>
                <w:tcPr>
                  <w:tcW w:w="130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1 014 369</w:t>
                  </w:r>
                </w:p>
              </w:tc>
              <w:tc>
                <w:tcPr>
                  <w:tcW w:w="166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399 358</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w:t>
                  </w:r>
                </w:p>
              </w:tc>
              <w:tc>
                <w:tcPr>
                  <w:tcW w:w="14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108 285</w:t>
                  </w:r>
                </w:p>
              </w:tc>
              <w:tc>
                <w:tcPr>
                  <w:tcW w:w="13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w:t>
                  </w:r>
                </w:p>
              </w:tc>
              <w:tc>
                <w:tcPr>
                  <w:tcW w:w="1604"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0,0%</w:t>
                  </w:r>
                </w:p>
              </w:tc>
              <w:tc>
                <w:tcPr>
                  <w:tcW w:w="130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163 453</w:t>
                  </w:r>
                </w:p>
              </w:tc>
              <w:tc>
                <w:tcPr>
                  <w:tcW w:w="166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49 975</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w:t>
                  </w:r>
                </w:p>
              </w:tc>
              <w:tc>
                <w:tcPr>
                  <w:tcW w:w="14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154 906</w:t>
                  </w:r>
                </w:p>
              </w:tc>
              <w:tc>
                <w:tcPr>
                  <w:tcW w:w="13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w:t>
                  </w:r>
                </w:p>
              </w:tc>
              <w:tc>
                <w:tcPr>
                  <w:tcW w:w="1604"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0,0%</w:t>
                  </w:r>
                </w:p>
              </w:tc>
              <w:tc>
                <w:tcPr>
                  <w:tcW w:w="130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165 426</w:t>
                  </w:r>
                </w:p>
              </w:tc>
              <w:tc>
                <w:tcPr>
                  <w:tcW w:w="166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48 655</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w:t>
                  </w:r>
                </w:p>
              </w:tc>
              <w:tc>
                <w:tcPr>
                  <w:tcW w:w="14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134 251</w:t>
                  </w:r>
                </w:p>
              </w:tc>
              <w:tc>
                <w:tcPr>
                  <w:tcW w:w="13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9 279</w:t>
                  </w:r>
                </w:p>
              </w:tc>
              <w:tc>
                <w:tcPr>
                  <w:tcW w:w="1604"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6,9%</w:t>
                  </w:r>
                </w:p>
              </w:tc>
              <w:tc>
                <w:tcPr>
                  <w:tcW w:w="130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112 562</w:t>
                  </w:r>
                </w:p>
              </w:tc>
              <w:tc>
                <w:tcPr>
                  <w:tcW w:w="166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33 106</w:t>
                  </w:r>
                </w:p>
              </w:tc>
            </w:tr>
            <w:tr w:rsidR="00FF2163" w:rsidRPr="00FF2163" w:rsidTr="00BB5A64">
              <w:trPr>
                <w:trHeight w:val="330"/>
              </w:trPr>
              <w:tc>
                <w:tcPr>
                  <w:tcW w:w="1320" w:type="dxa"/>
                  <w:tcBorders>
                    <w:top w:val="double" w:sz="6" w:space="0" w:color="333333"/>
                    <w:left w:val="double" w:sz="6" w:space="0" w:color="333333"/>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5</w:t>
                  </w:r>
                </w:p>
              </w:tc>
              <w:tc>
                <w:tcPr>
                  <w:tcW w:w="142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286 449</w:t>
                  </w:r>
                </w:p>
              </w:tc>
              <w:tc>
                <w:tcPr>
                  <w:tcW w:w="132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74 380</w:t>
                  </w:r>
                </w:p>
              </w:tc>
              <w:tc>
                <w:tcPr>
                  <w:tcW w:w="1604"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26,0%</w:t>
                  </w:r>
                </w:p>
              </w:tc>
              <w:tc>
                <w:tcPr>
                  <w:tcW w:w="130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197 723</w:t>
                  </w:r>
                </w:p>
              </w:tc>
              <w:tc>
                <w:tcPr>
                  <w:tcW w:w="166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58 154</w:t>
                  </w:r>
                </w:p>
              </w:tc>
            </w:tr>
            <w:tr w:rsidR="00FF2163" w:rsidRPr="00FF2163" w:rsidTr="00BB5A64">
              <w:trPr>
                <w:trHeight w:val="330"/>
              </w:trPr>
              <w:tc>
                <w:tcPr>
                  <w:tcW w:w="1320" w:type="dxa"/>
                  <w:tcBorders>
                    <w:top w:val="double" w:sz="6" w:space="0" w:color="FF0000"/>
                    <w:left w:val="double" w:sz="6" w:space="0" w:color="FF0000"/>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w:t>
                  </w:r>
                </w:p>
              </w:tc>
              <w:tc>
                <w:tcPr>
                  <w:tcW w:w="1420"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263 209</w:t>
                  </w:r>
                </w:p>
              </w:tc>
              <w:tc>
                <w:tcPr>
                  <w:tcW w:w="1320"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103 762</w:t>
                  </w:r>
                </w:p>
              </w:tc>
              <w:tc>
                <w:tcPr>
                  <w:tcW w:w="1604"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39,4%</w:t>
                  </w:r>
                </w:p>
              </w:tc>
              <w:tc>
                <w:tcPr>
                  <w:tcW w:w="1300"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142 535</w:t>
                  </w:r>
                </w:p>
              </w:tc>
              <w:tc>
                <w:tcPr>
                  <w:tcW w:w="1660" w:type="dxa"/>
                  <w:tcBorders>
                    <w:top w:val="double" w:sz="6" w:space="0" w:color="FF0000"/>
                    <w:left w:val="nil"/>
                    <w:bottom w:val="double" w:sz="6" w:space="0" w:color="333333"/>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41 922</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w:t>
                  </w:r>
                </w:p>
              </w:tc>
              <w:tc>
                <w:tcPr>
                  <w:tcW w:w="14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336 940</w:t>
                  </w:r>
                </w:p>
              </w:tc>
              <w:tc>
                <w:tcPr>
                  <w:tcW w:w="13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167 191</w:t>
                  </w:r>
                </w:p>
              </w:tc>
              <w:tc>
                <w:tcPr>
                  <w:tcW w:w="1604"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49,6%</w:t>
                  </w:r>
                </w:p>
              </w:tc>
              <w:tc>
                <w:tcPr>
                  <w:tcW w:w="130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167 101</w:t>
                  </w:r>
                </w:p>
              </w:tc>
              <w:tc>
                <w:tcPr>
                  <w:tcW w:w="1660" w:type="dxa"/>
                  <w:tcBorders>
                    <w:top w:val="nil"/>
                    <w:left w:val="nil"/>
                    <w:bottom w:val="double" w:sz="6" w:space="0" w:color="333333"/>
                    <w:right w:val="double" w:sz="6" w:space="0" w:color="FF0000"/>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49 147</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w:t>
                  </w:r>
                </w:p>
              </w:tc>
              <w:tc>
                <w:tcPr>
                  <w:tcW w:w="14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287 387</w:t>
                  </w:r>
                </w:p>
              </w:tc>
              <w:tc>
                <w:tcPr>
                  <w:tcW w:w="13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161 118</w:t>
                  </w:r>
                </w:p>
              </w:tc>
              <w:tc>
                <w:tcPr>
                  <w:tcW w:w="1604"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56,1%</w:t>
                  </w:r>
                </w:p>
              </w:tc>
              <w:tc>
                <w:tcPr>
                  <w:tcW w:w="130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126 950</w:t>
                  </w:r>
                </w:p>
              </w:tc>
              <w:tc>
                <w:tcPr>
                  <w:tcW w:w="1660" w:type="dxa"/>
                  <w:tcBorders>
                    <w:top w:val="nil"/>
                    <w:left w:val="nil"/>
                    <w:bottom w:val="double" w:sz="6" w:space="0" w:color="333333"/>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37 338</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9</w:t>
                  </w:r>
                </w:p>
              </w:tc>
              <w:tc>
                <w:tcPr>
                  <w:tcW w:w="14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180 015</w:t>
                  </w:r>
                </w:p>
              </w:tc>
              <w:tc>
                <w:tcPr>
                  <w:tcW w:w="13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109 257</w:t>
                  </w:r>
                </w:p>
              </w:tc>
              <w:tc>
                <w:tcPr>
                  <w:tcW w:w="1604"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60,7%</w:t>
                  </w:r>
                </w:p>
              </w:tc>
              <w:tc>
                <w:tcPr>
                  <w:tcW w:w="130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74 037</w:t>
                  </w:r>
                </w:p>
              </w:tc>
              <w:tc>
                <w:tcPr>
                  <w:tcW w:w="1660" w:type="dxa"/>
                  <w:tcBorders>
                    <w:top w:val="nil"/>
                    <w:left w:val="nil"/>
                    <w:bottom w:val="double" w:sz="6" w:space="0" w:color="333333"/>
                    <w:right w:val="double" w:sz="6" w:space="0" w:color="FF0000"/>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21 776</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10</w:t>
                  </w:r>
                </w:p>
              </w:tc>
              <w:tc>
                <w:tcPr>
                  <w:tcW w:w="14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87 066</w:t>
                  </w:r>
                </w:p>
              </w:tc>
              <w:tc>
                <w:tcPr>
                  <w:tcW w:w="13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57 048</w:t>
                  </w:r>
                </w:p>
              </w:tc>
              <w:tc>
                <w:tcPr>
                  <w:tcW w:w="1604"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65,5%</w:t>
                  </w:r>
                </w:p>
              </w:tc>
              <w:tc>
                <w:tcPr>
                  <w:tcW w:w="130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31 611</w:t>
                  </w:r>
                </w:p>
              </w:tc>
              <w:tc>
                <w:tcPr>
                  <w:tcW w:w="1660" w:type="dxa"/>
                  <w:tcBorders>
                    <w:top w:val="nil"/>
                    <w:left w:val="nil"/>
                    <w:bottom w:val="double" w:sz="6" w:space="0" w:color="333333"/>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9 297</w:t>
                  </w:r>
                </w:p>
              </w:tc>
            </w:tr>
            <w:tr w:rsidR="00FF2163" w:rsidRPr="00FF2163" w:rsidTr="00BB5A64">
              <w:trPr>
                <w:trHeight w:val="330"/>
              </w:trPr>
              <w:tc>
                <w:tcPr>
                  <w:tcW w:w="1320" w:type="dxa"/>
                  <w:tcBorders>
                    <w:top w:val="nil"/>
                    <w:left w:val="double" w:sz="6" w:space="0" w:color="FF0000"/>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11</w:t>
                  </w:r>
                </w:p>
              </w:tc>
              <w:tc>
                <w:tcPr>
                  <w:tcW w:w="1420"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282 858</w:t>
                  </w:r>
                </w:p>
              </w:tc>
              <w:tc>
                <w:tcPr>
                  <w:tcW w:w="1320"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202 415</w:t>
                  </w:r>
                </w:p>
              </w:tc>
              <w:tc>
                <w:tcPr>
                  <w:tcW w:w="1604"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71,6%</w:t>
                  </w:r>
                </w:p>
              </w:tc>
              <w:tc>
                <w:tcPr>
                  <w:tcW w:w="1300"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90 028</w:t>
                  </w:r>
                </w:p>
              </w:tc>
              <w:tc>
                <w:tcPr>
                  <w:tcW w:w="1660" w:type="dxa"/>
                  <w:tcBorders>
                    <w:top w:val="nil"/>
                    <w:left w:val="nil"/>
                    <w:bottom w:val="nil"/>
                    <w:right w:val="double" w:sz="6" w:space="0" w:color="FF0000"/>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26 479</w:t>
                  </w:r>
                </w:p>
              </w:tc>
            </w:tr>
            <w:tr w:rsidR="00FF2163" w:rsidRPr="00FF2163" w:rsidTr="00BB5A64">
              <w:trPr>
                <w:trHeight w:val="330"/>
              </w:trPr>
              <w:tc>
                <w:tcPr>
                  <w:tcW w:w="1320" w:type="dxa"/>
                  <w:tcBorders>
                    <w:top w:val="double" w:sz="6" w:space="0" w:color="FF0000"/>
                    <w:left w:val="double" w:sz="6" w:space="0" w:color="FF0000"/>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6-11</w:t>
                  </w:r>
                </w:p>
              </w:tc>
              <w:tc>
                <w:tcPr>
                  <w:tcW w:w="1420"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1 437 475</w:t>
                  </w:r>
                </w:p>
              </w:tc>
              <w:tc>
                <w:tcPr>
                  <w:tcW w:w="1320"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800 792</w:t>
                  </w:r>
                </w:p>
              </w:tc>
              <w:tc>
                <w:tcPr>
                  <w:tcW w:w="1604"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55,7%</w:t>
                  </w:r>
                </w:p>
              </w:tc>
              <w:tc>
                <w:tcPr>
                  <w:tcW w:w="1300"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632 262</w:t>
                  </w:r>
                </w:p>
              </w:tc>
              <w:tc>
                <w:tcPr>
                  <w:tcW w:w="1660" w:type="dxa"/>
                  <w:tcBorders>
                    <w:top w:val="double" w:sz="6" w:space="0" w:color="FF0000"/>
                    <w:left w:val="nil"/>
                    <w:bottom w:val="double" w:sz="6" w:space="0" w:color="FF0000"/>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185 960</w:t>
                  </w:r>
                </w:p>
              </w:tc>
            </w:tr>
            <w:tr w:rsidR="00FF2163" w:rsidRPr="00FF2163" w:rsidTr="00BB5A64">
              <w:trPr>
                <w:trHeight w:val="330"/>
              </w:trPr>
              <w:tc>
                <w:tcPr>
                  <w:tcW w:w="1320" w:type="dxa"/>
                  <w:tcBorders>
                    <w:top w:val="nil"/>
                    <w:left w:val="double" w:sz="6" w:space="0" w:color="333333"/>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1-11</w:t>
                  </w:r>
                </w:p>
              </w:tc>
              <w:tc>
                <w:tcPr>
                  <w:tcW w:w="14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2 431 365</w:t>
                  </w:r>
                </w:p>
              </w:tc>
              <w:tc>
                <w:tcPr>
                  <w:tcW w:w="13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884 452</w:t>
                  </w:r>
                </w:p>
              </w:tc>
              <w:tc>
                <w:tcPr>
                  <w:tcW w:w="1604"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36,4%</w:t>
                  </w:r>
                </w:p>
              </w:tc>
              <w:tc>
                <w:tcPr>
                  <w:tcW w:w="130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2 285 795</w:t>
                  </w:r>
                </w:p>
              </w:tc>
              <w:tc>
                <w:tcPr>
                  <w:tcW w:w="166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775 207</w:t>
                  </w:r>
                </w:p>
              </w:tc>
            </w:tr>
          </w:tbl>
          <w:p w:rsidR="0043575D" w:rsidRPr="00CF1A88" w:rsidRDefault="0043575D" w:rsidP="00AA52FE">
            <w:pPr>
              <w:autoSpaceDE w:val="0"/>
              <w:autoSpaceDN w:val="0"/>
              <w:adjustRightInd w:val="0"/>
              <w:spacing w:before="120" w:after="0" w:line="240" w:lineRule="auto"/>
              <w:jc w:val="both"/>
              <w:rPr>
                <w:rFonts w:cs="Calibri"/>
                <w:bCs/>
                <w:sz w:val="20"/>
                <w:szCs w:val="20"/>
                <w:lang w:eastAsia="pl-PL"/>
              </w:rPr>
            </w:pPr>
          </w:p>
        </w:tc>
      </w:tr>
    </w:tbl>
    <w:p w:rsidR="00981B1C" w:rsidRDefault="00981B1C" w:rsidP="0043575D">
      <w:pPr>
        <w:spacing w:before="120" w:after="120"/>
        <w:ind w:left="360"/>
        <w:contextualSpacing/>
        <w:jc w:val="both"/>
        <w:rPr>
          <w:sz w:val="20"/>
          <w:szCs w:val="20"/>
        </w:rPr>
        <w:sectPr w:rsidR="00981B1C" w:rsidSect="0043575D">
          <w:pgSz w:w="11906" w:h="16838" w:code="9"/>
          <w:pgMar w:top="1418" w:right="1418" w:bottom="1418" w:left="1418" w:header="709" w:footer="709" w:gutter="0"/>
          <w:cols w:space="708"/>
          <w:docGrid w:linePitch="360"/>
        </w:sectPr>
      </w:pPr>
    </w:p>
    <w:p w:rsidR="0043575D" w:rsidRDefault="0043575D" w:rsidP="0043575D">
      <w:pPr>
        <w:spacing w:before="120" w:after="120"/>
        <w:ind w:left="360"/>
        <w:contextualSpacing/>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981B1C" w:rsidRPr="00CC3C1B" w:rsidTr="000C33B3">
        <w:tc>
          <w:tcPr>
            <w:tcW w:w="9212" w:type="dxa"/>
            <w:shd w:val="clear" w:color="auto" w:fill="auto"/>
          </w:tcPr>
          <w:p w:rsidR="00981B1C" w:rsidRDefault="00981B1C" w:rsidP="00981B1C">
            <w:pPr>
              <w:autoSpaceDE w:val="0"/>
              <w:autoSpaceDN w:val="0"/>
              <w:adjustRightInd w:val="0"/>
              <w:spacing w:after="0" w:line="240" w:lineRule="auto"/>
              <w:jc w:val="both"/>
              <w:rPr>
                <w:rFonts w:cs="Calibri"/>
                <w:b/>
                <w:bCs/>
                <w:color w:val="000000"/>
                <w:sz w:val="20"/>
                <w:szCs w:val="20"/>
                <w:lang w:eastAsia="pl-PL"/>
              </w:rPr>
            </w:pPr>
          </w:p>
          <w:p w:rsidR="00DE0F26" w:rsidRPr="005A36AC" w:rsidRDefault="00DE0F26" w:rsidP="00BB5A64">
            <w:pPr>
              <w:pStyle w:val="Legenda"/>
              <w:keepNext/>
            </w:pPr>
            <w:bookmarkStart w:id="13" w:name="_Toc401826761"/>
            <w:r w:rsidRPr="005A36AC">
              <w:t xml:space="preserve">Tabela </w:t>
            </w:r>
            <w:r w:rsidR="00050B55">
              <w:fldChar w:fldCharType="begin"/>
            </w:r>
            <w:r w:rsidR="00050B55">
              <w:instrText xml:space="preserve"> SEQ Tabela \* ARABIC </w:instrText>
            </w:r>
            <w:r w:rsidR="00050B55">
              <w:fldChar w:fldCharType="separate"/>
            </w:r>
            <w:r w:rsidR="002570DE">
              <w:rPr>
                <w:noProof/>
              </w:rPr>
              <w:t>8</w:t>
            </w:r>
            <w:r w:rsidR="00050B55">
              <w:rPr>
                <w:noProof/>
              </w:rPr>
              <w:fldChar w:fldCharType="end"/>
            </w:r>
            <w:r w:rsidRPr="005A36AC">
              <w:t xml:space="preserve"> - Podłączenia dzięki nakładom z POPC w regionie lepiej rozwiniętym (w tys. PLN)</w:t>
            </w:r>
            <w:bookmarkEnd w:id="13"/>
          </w:p>
          <w:tbl>
            <w:tblPr>
              <w:tblW w:w="13956" w:type="dxa"/>
              <w:tblCellMar>
                <w:left w:w="70" w:type="dxa"/>
                <w:right w:w="70" w:type="dxa"/>
              </w:tblCellMar>
              <w:tblLook w:val="04A0" w:firstRow="1" w:lastRow="0" w:firstColumn="1" w:lastColumn="0" w:noHBand="0" w:noVBand="1"/>
            </w:tblPr>
            <w:tblGrid>
              <w:gridCol w:w="999"/>
              <w:gridCol w:w="1057"/>
              <w:gridCol w:w="1143"/>
              <w:gridCol w:w="1409"/>
              <w:gridCol w:w="1177"/>
              <w:gridCol w:w="1264"/>
              <w:gridCol w:w="1239"/>
              <w:gridCol w:w="920"/>
              <w:gridCol w:w="1111"/>
              <w:gridCol w:w="1409"/>
              <w:gridCol w:w="1022"/>
              <w:gridCol w:w="1206"/>
            </w:tblGrid>
            <w:tr w:rsidR="003E70CB" w:rsidRPr="003E70CB" w:rsidTr="00AD4CA2">
              <w:trPr>
                <w:trHeight w:val="330"/>
              </w:trPr>
              <w:tc>
                <w:tcPr>
                  <w:tcW w:w="1006" w:type="dxa"/>
                  <w:tcBorders>
                    <w:top w:val="double" w:sz="6" w:space="0" w:color="3F3F3F"/>
                    <w:left w:val="double" w:sz="6" w:space="0" w:color="3F3F3F"/>
                    <w:bottom w:val="double" w:sz="6" w:space="0" w:color="3F3F3F"/>
                    <w:right w:val="nil"/>
                  </w:tcBorders>
                  <w:shd w:val="clear" w:color="auto" w:fill="auto"/>
                  <w:noWrap/>
                  <w:vAlign w:val="bottom"/>
                </w:tcPr>
                <w:p w:rsidR="003E70CB" w:rsidRPr="003E70CB" w:rsidRDefault="003E70CB" w:rsidP="003E70CB">
                  <w:pPr>
                    <w:spacing w:after="0" w:line="240" w:lineRule="auto"/>
                    <w:jc w:val="center"/>
                    <w:rPr>
                      <w:rFonts w:eastAsia="Times New Roman" w:cs="Calibri"/>
                      <w:b/>
                      <w:bCs/>
                      <w:color w:val="FFFFFF"/>
                      <w:lang w:eastAsia="pl-PL"/>
                    </w:rPr>
                  </w:pPr>
                  <w:r w:rsidRPr="003E70CB">
                    <w:rPr>
                      <w:rFonts w:eastAsia="Times New Roman" w:cs="Calibri"/>
                      <w:b/>
                      <w:bCs/>
                      <w:color w:val="FFFFFF"/>
                      <w:lang w:eastAsia="pl-PL"/>
                    </w:rPr>
                    <w:t> </w:t>
                  </w:r>
                </w:p>
              </w:tc>
              <w:tc>
                <w:tcPr>
                  <w:tcW w:w="6086" w:type="dxa"/>
                  <w:gridSpan w:val="5"/>
                  <w:tcBorders>
                    <w:top w:val="double" w:sz="6" w:space="0" w:color="3F3F3F"/>
                    <w:left w:val="nil"/>
                    <w:bottom w:val="double" w:sz="6" w:space="0" w:color="3F3F3F"/>
                    <w:right w:val="double" w:sz="6" w:space="0" w:color="3F3F3F"/>
                  </w:tcBorders>
                  <w:shd w:val="clear" w:color="auto" w:fill="auto"/>
                  <w:noWrap/>
                  <w:vAlign w:val="bottom"/>
                </w:tcPr>
                <w:p w:rsidR="003E70CB" w:rsidRPr="003E70CB" w:rsidRDefault="003E70CB" w:rsidP="003E70CB">
                  <w:pPr>
                    <w:spacing w:after="0" w:line="240" w:lineRule="auto"/>
                    <w:jc w:val="center"/>
                    <w:rPr>
                      <w:rFonts w:eastAsia="Times New Roman" w:cs="Calibri"/>
                      <w:color w:val="000000"/>
                      <w:lang w:eastAsia="pl-PL"/>
                    </w:rPr>
                  </w:pPr>
                  <w:r w:rsidRPr="003E70CB">
                    <w:rPr>
                      <w:rFonts w:eastAsia="Times New Roman" w:cs="Calibri"/>
                      <w:color w:val="000000"/>
                      <w:lang w:eastAsia="pl-PL"/>
                    </w:rPr>
                    <w:t>Podłączenia dzięki nakładom z POPC</w:t>
                  </w:r>
                </w:p>
              </w:tc>
              <w:tc>
                <w:tcPr>
                  <w:tcW w:w="6864" w:type="dxa"/>
                  <w:gridSpan w:val="6"/>
                  <w:tcBorders>
                    <w:top w:val="double" w:sz="6" w:space="0" w:color="3F3F3F"/>
                    <w:left w:val="nil"/>
                    <w:bottom w:val="double" w:sz="6" w:space="0" w:color="3F3F3F"/>
                    <w:right w:val="double" w:sz="6" w:space="0" w:color="3F3F3F"/>
                  </w:tcBorders>
                  <w:shd w:val="clear" w:color="auto" w:fill="auto"/>
                  <w:noWrap/>
                  <w:vAlign w:val="bottom"/>
                </w:tcPr>
                <w:p w:rsidR="003E70CB" w:rsidRPr="003E70CB" w:rsidRDefault="003E70CB" w:rsidP="003E70CB">
                  <w:pPr>
                    <w:spacing w:after="0" w:line="240" w:lineRule="auto"/>
                    <w:jc w:val="center"/>
                    <w:rPr>
                      <w:rFonts w:eastAsia="Times New Roman" w:cs="Calibri"/>
                      <w:color w:val="000000"/>
                      <w:lang w:eastAsia="pl-PL"/>
                    </w:rPr>
                  </w:pPr>
                  <w:r w:rsidRPr="003E70CB">
                    <w:rPr>
                      <w:rFonts w:eastAsia="Times New Roman" w:cs="Calibri"/>
                      <w:color w:val="000000"/>
                      <w:lang w:eastAsia="pl-PL"/>
                    </w:rPr>
                    <w:t xml:space="preserve">w tym podłączenia szerokopasmowym dostępem do sieci o przepustowości ≥30 </w:t>
                  </w:r>
                  <w:proofErr w:type="spellStart"/>
                  <w:r w:rsidRPr="003E70CB">
                    <w:rPr>
                      <w:rFonts w:eastAsia="Times New Roman" w:cs="Calibri"/>
                      <w:color w:val="000000"/>
                      <w:lang w:eastAsia="pl-PL"/>
                    </w:rPr>
                    <w:t>Mb</w:t>
                  </w:r>
                  <w:proofErr w:type="spellEnd"/>
                  <w:r w:rsidRPr="003E70CB">
                    <w:rPr>
                      <w:rFonts w:eastAsia="Times New Roman" w:cs="Calibri"/>
                      <w:color w:val="000000"/>
                      <w:lang w:eastAsia="pl-PL"/>
                    </w:rPr>
                    <w:t>/s</w:t>
                  </w:r>
                </w:p>
              </w:tc>
            </w:tr>
            <w:tr w:rsidR="003E70CB" w:rsidRPr="003E70CB" w:rsidTr="00AD4CA2">
              <w:trPr>
                <w:trHeight w:val="2730"/>
              </w:trPr>
              <w:tc>
                <w:tcPr>
                  <w:tcW w:w="1006" w:type="dxa"/>
                  <w:tcBorders>
                    <w:top w:val="nil"/>
                    <w:left w:val="double" w:sz="6" w:space="0" w:color="3F3F3F"/>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Kategoria gminy</w:t>
                  </w:r>
                </w:p>
              </w:tc>
              <w:tc>
                <w:tcPr>
                  <w:tcW w:w="1063" w:type="dxa"/>
                  <w:tcBorders>
                    <w:top w:val="nil"/>
                    <w:left w:val="nil"/>
                    <w:bottom w:val="double" w:sz="6" w:space="0" w:color="3F3F3F"/>
                    <w:right w:val="double" w:sz="6" w:space="0" w:color="3F3F3F"/>
                  </w:tcBorders>
                  <w:shd w:val="clear" w:color="000000" w:fill="538DD5"/>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Nakłady łącznie na gosp. z POPC</w:t>
                  </w:r>
                </w:p>
              </w:tc>
              <w:tc>
                <w:tcPr>
                  <w:tcW w:w="1150" w:type="dxa"/>
                  <w:tcBorders>
                    <w:top w:val="nil"/>
                    <w:left w:val="nil"/>
                    <w:bottom w:val="double" w:sz="6" w:space="0" w:color="3F3F3F"/>
                    <w:right w:val="double" w:sz="6" w:space="0" w:color="3F3F3F"/>
                  </w:tcBorders>
                  <w:shd w:val="clear" w:color="000000" w:fill="538DD5"/>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Dopłata ze środków publicznych na gosp. z POPC</w:t>
                  </w:r>
                </w:p>
              </w:tc>
              <w:tc>
                <w:tcPr>
                  <w:tcW w:w="1417" w:type="dxa"/>
                  <w:tcBorders>
                    <w:top w:val="nil"/>
                    <w:left w:val="nil"/>
                    <w:bottom w:val="double" w:sz="6" w:space="0" w:color="3F3F3F"/>
                    <w:right w:val="double" w:sz="6" w:space="0" w:color="3F3F3F"/>
                  </w:tcBorders>
                  <w:shd w:val="clear" w:color="000000" w:fill="538DD5"/>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Poziom </w:t>
                  </w:r>
                  <w:r w:rsidRPr="00597BF5">
                    <w:rPr>
                      <w:rFonts w:eastAsia="Times New Roman" w:cs="Calibri"/>
                      <w:b/>
                      <w:bCs/>
                      <w:spacing w:val="-8"/>
                      <w:sz w:val="20"/>
                      <w:szCs w:val="20"/>
                      <w:lang w:eastAsia="pl-PL"/>
                    </w:rPr>
                    <w:t>dofinansowania</w:t>
                  </w:r>
                </w:p>
              </w:tc>
              <w:tc>
                <w:tcPr>
                  <w:tcW w:w="1184" w:type="dxa"/>
                  <w:tcBorders>
                    <w:top w:val="nil"/>
                    <w:left w:val="nil"/>
                    <w:bottom w:val="double" w:sz="6" w:space="0" w:color="3F3F3F"/>
                    <w:right w:val="double" w:sz="6" w:space="0" w:color="3F3F3F"/>
                  </w:tcBorders>
                  <w:shd w:val="clear" w:color="000000" w:fill="538DD5"/>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Liczba ludności do objęcia nową inwestycją w gminie z POPC</w:t>
                  </w:r>
                </w:p>
              </w:tc>
              <w:tc>
                <w:tcPr>
                  <w:tcW w:w="1272" w:type="dxa"/>
                  <w:tcBorders>
                    <w:top w:val="nil"/>
                    <w:left w:val="nil"/>
                    <w:bottom w:val="double" w:sz="6" w:space="0" w:color="3F3F3F"/>
                    <w:right w:val="double" w:sz="6" w:space="0" w:color="3F3F3F"/>
                  </w:tcBorders>
                  <w:shd w:val="clear" w:color="000000" w:fill="538DD5"/>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Liczba gospodarstw domowych do objęcia nową inwestycją w gminie z POPC </w:t>
                  </w:r>
                </w:p>
              </w:tc>
              <w:tc>
                <w:tcPr>
                  <w:tcW w:w="1246" w:type="dxa"/>
                  <w:tcBorders>
                    <w:top w:val="nil"/>
                    <w:left w:val="nil"/>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Założenie:</w:t>
                  </w:r>
                  <w:r w:rsidRPr="00DD7E68">
                    <w:rPr>
                      <w:rFonts w:eastAsia="Times New Roman" w:cs="Calibri"/>
                      <w:b/>
                      <w:bCs/>
                      <w:sz w:val="20"/>
                      <w:szCs w:val="20"/>
                      <w:lang w:eastAsia="pl-PL"/>
                    </w:rPr>
                    <w:br/>
                  </w:r>
                  <w:r w:rsidRPr="00DD7E68">
                    <w:rPr>
                      <w:rFonts w:eastAsia="Times New Roman" w:cs="Calibri"/>
                      <w:b/>
                      <w:bCs/>
                      <w:sz w:val="20"/>
                      <w:szCs w:val="20"/>
                      <w:lang w:eastAsia="pl-PL"/>
                    </w:rPr>
                    <w:br/>
                    <w:t xml:space="preserve">Udział gospodarstw do objęcia ≥30 </w:t>
                  </w:r>
                  <w:proofErr w:type="spellStart"/>
                  <w:r w:rsidRPr="00DD7E68">
                    <w:rPr>
                      <w:rFonts w:eastAsia="Times New Roman" w:cs="Calibri"/>
                      <w:b/>
                      <w:bCs/>
                      <w:sz w:val="20"/>
                      <w:szCs w:val="20"/>
                      <w:lang w:eastAsia="pl-PL"/>
                    </w:rPr>
                    <w:t>Mb</w:t>
                  </w:r>
                  <w:proofErr w:type="spellEnd"/>
                  <w:r w:rsidRPr="00DD7E68">
                    <w:rPr>
                      <w:rFonts w:eastAsia="Times New Roman" w:cs="Calibri"/>
                      <w:b/>
                      <w:bCs/>
                      <w:sz w:val="20"/>
                      <w:szCs w:val="20"/>
                      <w:lang w:eastAsia="pl-PL"/>
                    </w:rPr>
                    <w:t>/s</w:t>
                  </w:r>
                </w:p>
              </w:tc>
              <w:tc>
                <w:tcPr>
                  <w:tcW w:w="925" w:type="dxa"/>
                  <w:tcBorders>
                    <w:top w:val="nil"/>
                    <w:left w:val="nil"/>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Nakłady łącznie na gosp. ≥30 </w:t>
                  </w:r>
                  <w:proofErr w:type="spellStart"/>
                  <w:r w:rsidRPr="00DD7E68">
                    <w:rPr>
                      <w:rFonts w:eastAsia="Times New Roman" w:cs="Calibri"/>
                      <w:b/>
                      <w:bCs/>
                      <w:sz w:val="20"/>
                      <w:szCs w:val="20"/>
                      <w:lang w:eastAsia="pl-PL"/>
                    </w:rPr>
                    <w:t>Mb</w:t>
                  </w:r>
                  <w:proofErr w:type="spellEnd"/>
                  <w:r w:rsidRPr="00DD7E68">
                    <w:rPr>
                      <w:rFonts w:eastAsia="Times New Roman" w:cs="Calibri"/>
                      <w:b/>
                      <w:bCs/>
                      <w:sz w:val="20"/>
                      <w:szCs w:val="20"/>
                      <w:lang w:eastAsia="pl-PL"/>
                    </w:rPr>
                    <w:t>/s</w:t>
                  </w:r>
                </w:p>
              </w:tc>
              <w:tc>
                <w:tcPr>
                  <w:tcW w:w="1078" w:type="dxa"/>
                  <w:tcBorders>
                    <w:top w:val="nil"/>
                    <w:left w:val="nil"/>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Dopłata ze środków publicznych na gosp. ≥30 </w:t>
                  </w:r>
                  <w:proofErr w:type="spellStart"/>
                  <w:r w:rsidRPr="00DD7E68">
                    <w:rPr>
                      <w:rFonts w:eastAsia="Times New Roman" w:cs="Calibri"/>
                      <w:b/>
                      <w:bCs/>
                      <w:sz w:val="20"/>
                      <w:szCs w:val="20"/>
                      <w:lang w:eastAsia="pl-PL"/>
                    </w:rPr>
                    <w:t>Mb</w:t>
                  </w:r>
                  <w:proofErr w:type="spellEnd"/>
                  <w:r w:rsidRPr="00DD7E68">
                    <w:rPr>
                      <w:rFonts w:eastAsia="Times New Roman" w:cs="Calibri"/>
                      <w:b/>
                      <w:bCs/>
                      <w:sz w:val="20"/>
                      <w:szCs w:val="20"/>
                      <w:lang w:eastAsia="pl-PL"/>
                    </w:rPr>
                    <w:t>/s</w:t>
                  </w:r>
                </w:p>
              </w:tc>
              <w:tc>
                <w:tcPr>
                  <w:tcW w:w="1417" w:type="dxa"/>
                  <w:tcBorders>
                    <w:top w:val="nil"/>
                    <w:left w:val="nil"/>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Poziom </w:t>
                  </w:r>
                  <w:r w:rsidRPr="00597BF5">
                    <w:rPr>
                      <w:rFonts w:eastAsia="Times New Roman" w:cs="Calibri"/>
                      <w:b/>
                      <w:bCs/>
                      <w:spacing w:val="-8"/>
                      <w:sz w:val="20"/>
                      <w:szCs w:val="20"/>
                      <w:lang w:eastAsia="pl-PL"/>
                    </w:rPr>
                    <w:t>dofinansowania</w:t>
                  </w:r>
                </w:p>
              </w:tc>
              <w:tc>
                <w:tcPr>
                  <w:tcW w:w="1028" w:type="dxa"/>
                  <w:tcBorders>
                    <w:top w:val="nil"/>
                    <w:left w:val="nil"/>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Liczba ludności do objęcia nową inwestycją ≥30 </w:t>
                  </w:r>
                  <w:proofErr w:type="spellStart"/>
                  <w:r w:rsidRPr="00DD7E68">
                    <w:rPr>
                      <w:rFonts w:eastAsia="Times New Roman" w:cs="Calibri"/>
                      <w:b/>
                      <w:bCs/>
                      <w:sz w:val="20"/>
                      <w:szCs w:val="20"/>
                      <w:lang w:eastAsia="pl-PL"/>
                    </w:rPr>
                    <w:t>Mb</w:t>
                  </w:r>
                  <w:proofErr w:type="spellEnd"/>
                  <w:r w:rsidRPr="00DD7E68">
                    <w:rPr>
                      <w:rFonts w:eastAsia="Times New Roman" w:cs="Calibri"/>
                      <w:b/>
                      <w:bCs/>
                      <w:sz w:val="20"/>
                      <w:szCs w:val="20"/>
                      <w:lang w:eastAsia="pl-PL"/>
                    </w:rPr>
                    <w:t>/s w gminie</w:t>
                  </w:r>
                </w:p>
              </w:tc>
              <w:tc>
                <w:tcPr>
                  <w:tcW w:w="1170" w:type="dxa"/>
                  <w:tcBorders>
                    <w:top w:val="nil"/>
                    <w:left w:val="nil"/>
                    <w:bottom w:val="double" w:sz="6" w:space="0" w:color="3F3F3F"/>
                    <w:right w:val="double" w:sz="6" w:space="0" w:color="3F3F3F"/>
                  </w:tcBorders>
                  <w:shd w:val="clear" w:color="000000" w:fill="95B3D7"/>
                  <w:vAlign w:val="bottom"/>
                </w:tcPr>
                <w:p w:rsidR="003E70CB" w:rsidRPr="00DD7E68" w:rsidRDefault="003E70CB" w:rsidP="003E70CB">
                  <w:pPr>
                    <w:spacing w:after="0" w:line="240" w:lineRule="auto"/>
                    <w:jc w:val="center"/>
                    <w:rPr>
                      <w:rFonts w:eastAsia="Times New Roman" w:cs="Calibri"/>
                      <w:b/>
                      <w:bCs/>
                      <w:sz w:val="20"/>
                      <w:szCs w:val="20"/>
                      <w:lang w:eastAsia="pl-PL"/>
                    </w:rPr>
                  </w:pPr>
                  <w:r w:rsidRPr="00DD7E68">
                    <w:rPr>
                      <w:rFonts w:eastAsia="Times New Roman" w:cs="Calibri"/>
                      <w:b/>
                      <w:bCs/>
                      <w:sz w:val="20"/>
                      <w:szCs w:val="20"/>
                      <w:lang w:eastAsia="pl-PL"/>
                    </w:rPr>
                    <w:t xml:space="preserve">Liczba gospodarstw domowych do objęcia nową inwestycją ≥30 </w:t>
                  </w:r>
                  <w:proofErr w:type="spellStart"/>
                  <w:r w:rsidRPr="00DD7E68">
                    <w:rPr>
                      <w:rFonts w:eastAsia="Times New Roman" w:cs="Calibri"/>
                      <w:b/>
                      <w:bCs/>
                      <w:sz w:val="20"/>
                      <w:szCs w:val="20"/>
                      <w:lang w:eastAsia="pl-PL"/>
                    </w:rPr>
                    <w:t>Mb</w:t>
                  </w:r>
                  <w:proofErr w:type="spellEnd"/>
                  <w:r w:rsidRPr="00DD7E68">
                    <w:rPr>
                      <w:rFonts w:eastAsia="Times New Roman" w:cs="Calibri"/>
                      <w:b/>
                      <w:bCs/>
                      <w:sz w:val="20"/>
                      <w:szCs w:val="20"/>
                      <w:lang w:eastAsia="pl-PL"/>
                    </w:rPr>
                    <w:t>/s w gminie</w:t>
                  </w:r>
                </w:p>
              </w:tc>
            </w:tr>
            <w:tr w:rsidR="00AD4CA2" w:rsidRPr="003E70CB" w:rsidTr="00AD4CA2">
              <w:trPr>
                <w:trHeight w:val="330"/>
              </w:trPr>
              <w:tc>
                <w:tcPr>
                  <w:tcW w:w="1006" w:type="dxa"/>
                  <w:tcBorders>
                    <w:top w:val="double" w:sz="6" w:space="0" w:color="FF0000"/>
                    <w:left w:val="double" w:sz="6" w:space="0" w:color="FF0000"/>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6</w:t>
                  </w:r>
                </w:p>
              </w:tc>
              <w:tc>
                <w:tcPr>
                  <w:tcW w:w="1063" w:type="dxa"/>
                  <w:tcBorders>
                    <w:top w:val="double" w:sz="6" w:space="0" w:color="FF0000"/>
                    <w:left w:val="double" w:sz="6" w:space="0" w:color="FF0000"/>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72 033</w:t>
                  </w:r>
                </w:p>
              </w:tc>
              <w:tc>
                <w:tcPr>
                  <w:tcW w:w="1150" w:type="dxa"/>
                  <w:tcBorders>
                    <w:top w:val="double" w:sz="6" w:space="0" w:color="FF0000"/>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28 397</w:t>
                  </w:r>
                </w:p>
              </w:tc>
              <w:tc>
                <w:tcPr>
                  <w:tcW w:w="1417" w:type="dxa"/>
                  <w:tcBorders>
                    <w:top w:val="double" w:sz="6" w:space="0" w:color="FF0000"/>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39,4%</w:t>
                  </w:r>
                </w:p>
              </w:tc>
              <w:tc>
                <w:tcPr>
                  <w:tcW w:w="1184" w:type="dxa"/>
                  <w:tcBorders>
                    <w:top w:val="double" w:sz="6" w:space="0" w:color="FF0000"/>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39 008</w:t>
                  </w:r>
                </w:p>
              </w:tc>
              <w:tc>
                <w:tcPr>
                  <w:tcW w:w="1272" w:type="dxa"/>
                  <w:tcBorders>
                    <w:top w:val="double" w:sz="6" w:space="0" w:color="FF0000"/>
                    <w:left w:val="nil"/>
                    <w:bottom w:val="double" w:sz="6" w:space="0" w:color="333333"/>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11 473</w:t>
                  </w:r>
                </w:p>
              </w:tc>
              <w:tc>
                <w:tcPr>
                  <w:tcW w:w="1246" w:type="dxa"/>
                  <w:tcBorders>
                    <w:top w:val="double" w:sz="6" w:space="0" w:color="FF0000"/>
                    <w:left w:val="nil"/>
                    <w:bottom w:val="double" w:sz="6" w:space="0" w:color="333333"/>
                    <w:right w:val="nil"/>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100,0%</w:t>
                  </w:r>
                </w:p>
              </w:tc>
              <w:tc>
                <w:tcPr>
                  <w:tcW w:w="925" w:type="dxa"/>
                  <w:tcBorders>
                    <w:top w:val="double" w:sz="6" w:space="0" w:color="FF0000"/>
                    <w:left w:val="double" w:sz="6" w:space="0" w:color="auto"/>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72 033</w:t>
                  </w:r>
                </w:p>
              </w:tc>
              <w:tc>
                <w:tcPr>
                  <w:tcW w:w="1078" w:type="dxa"/>
                  <w:tcBorders>
                    <w:top w:val="double" w:sz="6" w:space="0" w:color="FF0000"/>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28 397</w:t>
                  </w:r>
                </w:p>
              </w:tc>
              <w:tc>
                <w:tcPr>
                  <w:tcW w:w="1417" w:type="dxa"/>
                  <w:tcBorders>
                    <w:top w:val="double" w:sz="6" w:space="0" w:color="FF0000"/>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39,4%</w:t>
                  </w:r>
                </w:p>
              </w:tc>
              <w:tc>
                <w:tcPr>
                  <w:tcW w:w="1028" w:type="dxa"/>
                  <w:tcBorders>
                    <w:top w:val="double" w:sz="6" w:space="0" w:color="FF0000"/>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39 008</w:t>
                  </w:r>
                </w:p>
              </w:tc>
              <w:tc>
                <w:tcPr>
                  <w:tcW w:w="1170" w:type="dxa"/>
                  <w:tcBorders>
                    <w:top w:val="double" w:sz="6" w:space="0" w:color="FF0000"/>
                    <w:left w:val="nil"/>
                    <w:bottom w:val="double" w:sz="6" w:space="0" w:color="333333"/>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11 473</w:t>
                  </w:r>
                </w:p>
              </w:tc>
            </w:tr>
            <w:tr w:rsidR="00AD4CA2" w:rsidRPr="003E70CB" w:rsidTr="00AD4CA2">
              <w:trPr>
                <w:trHeight w:val="330"/>
              </w:trPr>
              <w:tc>
                <w:tcPr>
                  <w:tcW w:w="1006" w:type="dxa"/>
                  <w:tcBorders>
                    <w:top w:val="nil"/>
                    <w:left w:val="double" w:sz="6" w:space="0" w:color="FF0000"/>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7</w:t>
                  </w:r>
                </w:p>
              </w:tc>
              <w:tc>
                <w:tcPr>
                  <w:tcW w:w="1063" w:type="dxa"/>
                  <w:tcBorders>
                    <w:top w:val="nil"/>
                    <w:left w:val="double" w:sz="6" w:space="0" w:color="FF0000"/>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92 211</w:t>
                  </w:r>
                </w:p>
              </w:tc>
              <w:tc>
                <w:tcPr>
                  <w:tcW w:w="1150"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45 756</w:t>
                  </w:r>
                </w:p>
              </w:tc>
              <w:tc>
                <w:tcPr>
                  <w:tcW w:w="1417"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49,6%</w:t>
                  </w:r>
                </w:p>
              </w:tc>
              <w:tc>
                <w:tcPr>
                  <w:tcW w:w="1184"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45 731</w:t>
                  </w:r>
                </w:p>
              </w:tc>
              <w:tc>
                <w:tcPr>
                  <w:tcW w:w="1272" w:type="dxa"/>
                  <w:tcBorders>
                    <w:top w:val="nil"/>
                    <w:left w:val="nil"/>
                    <w:bottom w:val="double" w:sz="6" w:space="0" w:color="333333"/>
                    <w:right w:val="double" w:sz="6" w:space="0" w:color="FF0000"/>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13 450</w:t>
                  </w:r>
                </w:p>
              </w:tc>
              <w:tc>
                <w:tcPr>
                  <w:tcW w:w="1246" w:type="dxa"/>
                  <w:tcBorders>
                    <w:top w:val="nil"/>
                    <w:left w:val="nil"/>
                    <w:bottom w:val="double" w:sz="6" w:space="0" w:color="333333"/>
                    <w:right w:val="nil"/>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95,0%</w:t>
                  </w:r>
                </w:p>
              </w:tc>
              <w:tc>
                <w:tcPr>
                  <w:tcW w:w="925" w:type="dxa"/>
                  <w:tcBorders>
                    <w:top w:val="nil"/>
                    <w:left w:val="double" w:sz="6" w:space="0" w:color="auto"/>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87 601</w:t>
                  </w:r>
                </w:p>
              </w:tc>
              <w:tc>
                <w:tcPr>
                  <w:tcW w:w="1078"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43 468</w:t>
                  </w:r>
                </w:p>
              </w:tc>
              <w:tc>
                <w:tcPr>
                  <w:tcW w:w="1417"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49,6%</w:t>
                  </w:r>
                </w:p>
              </w:tc>
              <w:tc>
                <w:tcPr>
                  <w:tcW w:w="1028"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43 445</w:t>
                  </w:r>
                </w:p>
              </w:tc>
              <w:tc>
                <w:tcPr>
                  <w:tcW w:w="1170" w:type="dxa"/>
                  <w:tcBorders>
                    <w:top w:val="nil"/>
                    <w:left w:val="nil"/>
                    <w:bottom w:val="double" w:sz="6" w:space="0" w:color="333333"/>
                    <w:right w:val="double" w:sz="6" w:space="0" w:color="FF0000"/>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12 778</w:t>
                  </w:r>
                </w:p>
              </w:tc>
            </w:tr>
            <w:tr w:rsidR="00AD4CA2" w:rsidRPr="003E70CB" w:rsidTr="00AD4CA2">
              <w:trPr>
                <w:trHeight w:val="330"/>
              </w:trPr>
              <w:tc>
                <w:tcPr>
                  <w:tcW w:w="1006" w:type="dxa"/>
                  <w:tcBorders>
                    <w:top w:val="nil"/>
                    <w:left w:val="double" w:sz="6" w:space="0" w:color="FF0000"/>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8</w:t>
                  </w:r>
                </w:p>
              </w:tc>
              <w:tc>
                <w:tcPr>
                  <w:tcW w:w="1063" w:type="dxa"/>
                  <w:tcBorders>
                    <w:top w:val="nil"/>
                    <w:left w:val="double" w:sz="6" w:space="0" w:color="FF0000"/>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78 650</w:t>
                  </w:r>
                </w:p>
              </w:tc>
              <w:tc>
                <w:tcPr>
                  <w:tcW w:w="1150"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44 094</w:t>
                  </w:r>
                </w:p>
              </w:tc>
              <w:tc>
                <w:tcPr>
                  <w:tcW w:w="1417"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56,1%</w:t>
                  </w:r>
                </w:p>
              </w:tc>
              <w:tc>
                <w:tcPr>
                  <w:tcW w:w="1184"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34 743</w:t>
                  </w:r>
                </w:p>
              </w:tc>
              <w:tc>
                <w:tcPr>
                  <w:tcW w:w="1272" w:type="dxa"/>
                  <w:tcBorders>
                    <w:top w:val="nil"/>
                    <w:left w:val="nil"/>
                    <w:bottom w:val="double" w:sz="6" w:space="0" w:color="333333"/>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10 218</w:t>
                  </w:r>
                </w:p>
              </w:tc>
              <w:tc>
                <w:tcPr>
                  <w:tcW w:w="1246" w:type="dxa"/>
                  <w:tcBorders>
                    <w:top w:val="nil"/>
                    <w:left w:val="nil"/>
                    <w:bottom w:val="double" w:sz="6" w:space="0" w:color="333333"/>
                    <w:right w:val="nil"/>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90,0%</w:t>
                  </w:r>
                </w:p>
              </w:tc>
              <w:tc>
                <w:tcPr>
                  <w:tcW w:w="925" w:type="dxa"/>
                  <w:tcBorders>
                    <w:top w:val="nil"/>
                    <w:left w:val="double" w:sz="6" w:space="0" w:color="auto"/>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70 785</w:t>
                  </w:r>
                </w:p>
              </w:tc>
              <w:tc>
                <w:tcPr>
                  <w:tcW w:w="1078"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39 684</w:t>
                  </w:r>
                </w:p>
              </w:tc>
              <w:tc>
                <w:tcPr>
                  <w:tcW w:w="1417"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56,1%</w:t>
                  </w:r>
                </w:p>
              </w:tc>
              <w:tc>
                <w:tcPr>
                  <w:tcW w:w="1028"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31 268</w:t>
                  </w:r>
                </w:p>
              </w:tc>
              <w:tc>
                <w:tcPr>
                  <w:tcW w:w="1170" w:type="dxa"/>
                  <w:tcBorders>
                    <w:top w:val="nil"/>
                    <w:left w:val="nil"/>
                    <w:bottom w:val="double" w:sz="6" w:space="0" w:color="333333"/>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9 197</w:t>
                  </w:r>
                </w:p>
              </w:tc>
            </w:tr>
            <w:tr w:rsidR="00AD4CA2" w:rsidRPr="003E70CB" w:rsidTr="00AD4CA2">
              <w:trPr>
                <w:trHeight w:val="330"/>
              </w:trPr>
              <w:tc>
                <w:tcPr>
                  <w:tcW w:w="1006" w:type="dxa"/>
                  <w:tcBorders>
                    <w:top w:val="nil"/>
                    <w:left w:val="double" w:sz="6" w:space="0" w:color="FF0000"/>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9</w:t>
                  </w:r>
                </w:p>
              </w:tc>
              <w:tc>
                <w:tcPr>
                  <w:tcW w:w="1063" w:type="dxa"/>
                  <w:tcBorders>
                    <w:top w:val="nil"/>
                    <w:left w:val="double" w:sz="6" w:space="0" w:color="FF0000"/>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49 265</w:t>
                  </w:r>
                </w:p>
              </w:tc>
              <w:tc>
                <w:tcPr>
                  <w:tcW w:w="1150"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29 901</w:t>
                  </w:r>
                </w:p>
              </w:tc>
              <w:tc>
                <w:tcPr>
                  <w:tcW w:w="1417"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60,7%</w:t>
                  </w:r>
                </w:p>
              </w:tc>
              <w:tc>
                <w:tcPr>
                  <w:tcW w:w="1184"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20 262</w:t>
                  </w:r>
                </w:p>
              </w:tc>
              <w:tc>
                <w:tcPr>
                  <w:tcW w:w="1272" w:type="dxa"/>
                  <w:tcBorders>
                    <w:top w:val="nil"/>
                    <w:left w:val="nil"/>
                    <w:bottom w:val="double" w:sz="6" w:space="0" w:color="333333"/>
                    <w:right w:val="double" w:sz="6" w:space="0" w:color="FF0000"/>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5 959</w:t>
                  </w:r>
                </w:p>
              </w:tc>
              <w:tc>
                <w:tcPr>
                  <w:tcW w:w="1246" w:type="dxa"/>
                  <w:tcBorders>
                    <w:top w:val="nil"/>
                    <w:left w:val="nil"/>
                    <w:bottom w:val="double" w:sz="6" w:space="0" w:color="333333"/>
                    <w:right w:val="nil"/>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85,0%</w:t>
                  </w:r>
                </w:p>
              </w:tc>
              <w:tc>
                <w:tcPr>
                  <w:tcW w:w="925" w:type="dxa"/>
                  <w:tcBorders>
                    <w:top w:val="nil"/>
                    <w:left w:val="double" w:sz="6" w:space="0" w:color="auto"/>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41 875</w:t>
                  </w:r>
                </w:p>
              </w:tc>
              <w:tc>
                <w:tcPr>
                  <w:tcW w:w="1078"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25 416</w:t>
                  </w:r>
                </w:p>
              </w:tc>
              <w:tc>
                <w:tcPr>
                  <w:tcW w:w="1417"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60,7%</w:t>
                  </w:r>
                </w:p>
              </w:tc>
              <w:tc>
                <w:tcPr>
                  <w:tcW w:w="1028" w:type="dxa"/>
                  <w:tcBorders>
                    <w:top w:val="nil"/>
                    <w:left w:val="nil"/>
                    <w:bottom w:val="double" w:sz="6" w:space="0" w:color="333333"/>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17 223</w:t>
                  </w:r>
                </w:p>
              </w:tc>
              <w:tc>
                <w:tcPr>
                  <w:tcW w:w="1170" w:type="dxa"/>
                  <w:tcBorders>
                    <w:top w:val="nil"/>
                    <w:left w:val="nil"/>
                    <w:bottom w:val="double" w:sz="6" w:space="0" w:color="333333"/>
                    <w:right w:val="double" w:sz="6" w:space="0" w:color="FF0000"/>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5 065</w:t>
                  </w:r>
                </w:p>
              </w:tc>
            </w:tr>
            <w:tr w:rsidR="00AD4CA2" w:rsidRPr="003E70CB" w:rsidTr="00AD4CA2">
              <w:trPr>
                <w:trHeight w:val="330"/>
              </w:trPr>
              <w:tc>
                <w:tcPr>
                  <w:tcW w:w="1006" w:type="dxa"/>
                  <w:tcBorders>
                    <w:top w:val="nil"/>
                    <w:left w:val="double" w:sz="6" w:space="0" w:color="FF0000"/>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10</w:t>
                  </w:r>
                </w:p>
              </w:tc>
              <w:tc>
                <w:tcPr>
                  <w:tcW w:w="1063" w:type="dxa"/>
                  <w:tcBorders>
                    <w:top w:val="nil"/>
                    <w:left w:val="double" w:sz="6" w:space="0" w:color="FF0000"/>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23 828</w:t>
                  </w:r>
                </w:p>
              </w:tc>
              <w:tc>
                <w:tcPr>
                  <w:tcW w:w="1150"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15 612</w:t>
                  </w:r>
                </w:p>
              </w:tc>
              <w:tc>
                <w:tcPr>
                  <w:tcW w:w="1417"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65,5%</w:t>
                  </w:r>
                </w:p>
              </w:tc>
              <w:tc>
                <w:tcPr>
                  <w:tcW w:w="1184"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8 651</w:t>
                  </w:r>
                </w:p>
              </w:tc>
              <w:tc>
                <w:tcPr>
                  <w:tcW w:w="1272" w:type="dxa"/>
                  <w:tcBorders>
                    <w:top w:val="nil"/>
                    <w:left w:val="nil"/>
                    <w:bottom w:val="double" w:sz="6" w:space="0" w:color="333333"/>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2 544</w:t>
                  </w:r>
                </w:p>
              </w:tc>
              <w:tc>
                <w:tcPr>
                  <w:tcW w:w="1246" w:type="dxa"/>
                  <w:tcBorders>
                    <w:top w:val="nil"/>
                    <w:left w:val="nil"/>
                    <w:bottom w:val="double" w:sz="6" w:space="0" w:color="333333"/>
                    <w:right w:val="nil"/>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85,0%</w:t>
                  </w:r>
                </w:p>
              </w:tc>
              <w:tc>
                <w:tcPr>
                  <w:tcW w:w="925" w:type="dxa"/>
                  <w:tcBorders>
                    <w:top w:val="nil"/>
                    <w:left w:val="double" w:sz="6" w:space="0" w:color="auto"/>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20 254</w:t>
                  </w:r>
                </w:p>
              </w:tc>
              <w:tc>
                <w:tcPr>
                  <w:tcW w:w="1078"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13 271</w:t>
                  </w:r>
                </w:p>
              </w:tc>
              <w:tc>
                <w:tcPr>
                  <w:tcW w:w="1417"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65,5%</w:t>
                  </w:r>
                </w:p>
              </w:tc>
              <w:tc>
                <w:tcPr>
                  <w:tcW w:w="1028" w:type="dxa"/>
                  <w:tcBorders>
                    <w:top w:val="nil"/>
                    <w:left w:val="nil"/>
                    <w:bottom w:val="double" w:sz="6" w:space="0" w:color="333333"/>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7 353</w:t>
                  </w:r>
                </w:p>
              </w:tc>
              <w:tc>
                <w:tcPr>
                  <w:tcW w:w="1170" w:type="dxa"/>
                  <w:tcBorders>
                    <w:top w:val="nil"/>
                    <w:left w:val="nil"/>
                    <w:bottom w:val="double" w:sz="6" w:space="0" w:color="333333"/>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2 163</w:t>
                  </w:r>
                </w:p>
              </w:tc>
            </w:tr>
            <w:tr w:rsidR="00AD4CA2" w:rsidRPr="003E70CB" w:rsidTr="00AD4CA2">
              <w:trPr>
                <w:trHeight w:val="330"/>
              </w:trPr>
              <w:tc>
                <w:tcPr>
                  <w:tcW w:w="1006" w:type="dxa"/>
                  <w:tcBorders>
                    <w:top w:val="nil"/>
                    <w:left w:val="double" w:sz="6" w:space="0" w:color="FF0000"/>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11</w:t>
                  </w:r>
                </w:p>
              </w:tc>
              <w:tc>
                <w:tcPr>
                  <w:tcW w:w="1063" w:type="dxa"/>
                  <w:tcBorders>
                    <w:top w:val="nil"/>
                    <w:left w:val="double" w:sz="6" w:space="0" w:color="FF0000"/>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77 411</w:t>
                  </w:r>
                </w:p>
              </w:tc>
              <w:tc>
                <w:tcPr>
                  <w:tcW w:w="1150" w:type="dxa"/>
                  <w:tcBorders>
                    <w:top w:val="nil"/>
                    <w:left w:val="nil"/>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55 396</w:t>
                  </w:r>
                </w:p>
              </w:tc>
              <w:tc>
                <w:tcPr>
                  <w:tcW w:w="1417" w:type="dxa"/>
                  <w:tcBorders>
                    <w:top w:val="nil"/>
                    <w:left w:val="nil"/>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71,6%</w:t>
                  </w:r>
                </w:p>
              </w:tc>
              <w:tc>
                <w:tcPr>
                  <w:tcW w:w="1184" w:type="dxa"/>
                  <w:tcBorders>
                    <w:top w:val="nil"/>
                    <w:left w:val="nil"/>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24 638</w:t>
                  </w:r>
                </w:p>
              </w:tc>
              <w:tc>
                <w:tcPr>
                  <w:tcW w:w="1272" w:type="dxa"/>
                  <w:tcBorders>
                    <w:top w:val="nil"/>
                    <w:left w:val="nil"/>
                    <w:bottom w:val="nil"/>
                    <w:right w:val="double" w:sz="6" w:space="0" w:color="FF0000"/>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7 247</w:t>
                  </w:r>
                </w:p>
              </w:tc>
              <w:tc>
                <w:tcPr>
                  <w:tcW w:w="1246" w:type="dxa"/>
                  <w:tcBorders>
                    <w:top w:val="nil"/>
                    <w:left w:val="nil"/>
                    <w:bottom w:val="nil"/>
                    <w:right w:val="nil"/>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85,0%</w:t>
                  </w:r>
                </w:p>
              </w:tc>
              <w:tc>
                <w:tcPr>
                  <w:tcW w:w="925" w:type="dxa"/>
                  <w:tcBorders>
                    <w:top w:val="nil"/>
                    <w:left w:val="double" w:sz="6" w:space="0" w:color="auto"/>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65 799</w:t>
                  </w:r>
                </w:p>
              </w:tc>
              <w:tc>
                <w:tcPr>
                  <w:tcW w:w="1078" w:type="dxa"/>
                  <w:tcBorders>
                    <w:top w:val="nil"/>
                    <w:left w:val="nil"/>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47 086</w:t>
                  </w:r>
                </w:p>
              </w:tc>
              <w:tc>
                <w:tcPr>
                  <w:tcW w:w="1417" w:type="dxa"/>
                  <w:tcBorders>
                    <w:top w:val="nil"/>
                    <w:left w:val="nil"/>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71,6%</w:t>
                  </w:r>
                </w:p>
              </w:tc>
              <w:tc>
                <w:tcPr>
                  <w:tcW w:w="1028" w:type="dxa"/>
                  <w:tcBorders>
                    <w:top w:val="nil"/>
                    <w:left w:val="nil"/>
                    <w:bottom w:val="nil"/>
                    <w:right w:val="double" w:sz="6" w:space="0" w:color="333333"/>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20 943</w:t>
                  </w:r>
                </w:p>
              </w:tc>
              <w:tc>
                <w:tcPr>
                  <w:tcW w:w="1170" w:type="dxa"/>
                  <w:tcBorders>
                    <w:top w:val="nil"/>
                    <w:left w:val="nil"/>
                    <w:bottom w:val="nil"/>
                    <w:right w:val="double" w:sz="6" w:space="0" w:color="FF0000"/>
                  </w:tcBorders>
                  <w:shd w:val="clear" w:color="000000" w:fill="B8CCE4"/>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6 160</w:t>
                  </w:r>
                </w:p>
              </w:tc>
            </w:tr>
            <w:tr w:rsidR="00AD4CA2" w:rsidRPr="003E70CB" w:rsidTr="00AD4CA2">
              <w:trPr>
                <w:trHeight w:val="330"/>
              </w:trPr>
              <w:tc>
                <w:tcPr>
                  <w:tcW w:w="1006" w:type="dxa"/>
                  <w:tcBorders>
                    <w:top w:val="double" w:sz="6" w:space="0" w:color="FF0000"/>
                    <w:left w:val="double" w:sz="6" w:space="0" w:color="FF0000"/>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sidRPr="003E70CB">
                    <w:rPr>
                      <w:rFonts w:eastAsia="Times New Roman" w:cs="Calibri"/>
                      <w:b/>
                      <w:bCs/>
                      <w:lang w:eastAsia="pl-PL"/>
                    </w:rPr>
                    <w:t>6-11</w:t>
                  </w:r>
                </w:p>
              </w:tc>
              <w:tc>
                <w:tcPr>
                  <w:tcW w:w="1063" w:type="dxa"/>
                  <w:tcBorders>
                    <w:top w:val="double" w:sz="6" w:space="0" w:color="FF0000"/>
                    <w:left w:val="double" w:sz="6" w:space="0" w:color="FF0000"/>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393 398</w:t>
                  </w:r>
                </w:p>
              </w:tc>
              <w:tc>
                <w:tcPr>
                  <w:tcW w:w="1150" w:type="dxa"/>
                  <w:tcBorders>
                    <w:top w:val="double" w:sz="6" w:space="0" w:color="FF0000"/>
                    <w:left w:val="nil"/>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219 155</w:t>
                  </w:r>
                </w:p>
              </w:tc>
              <w:tc>
                <w:tcPr>
                  <w:tcW w:w="1417" w:type="dxa"/>
                  <w:tcBorders>
                    <w:top w:val="double" w:sz="6" w:space="0" w:color="FF0000"/>
                    <w:left w:val="nil"/>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55,7%</w:t>
                  </w:r>
                </w:p>
              </w:tc>
              <w:tc>
                <w:tcPr>
                  <w:tcW w:w="1184" w:type="dxa"/>
                  <w:tcBorders>
                    <w:top w:val="double" w:sz="6" w:space="0" w:color="FF0000"/>
                    <w:left w:val="nil"/>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173 033</w:t>
                  </w:r>
                </w:p>
              </w:tc>
              <w:tc>
                <w:tcPr>
                  <w:tcW w:w="1272" w:type="dxa"/>
                  <w:tcBorders>
                    <w:top w:val="double" w:sz="6" w:space="0" w:color="FF0000"/>
                    <w:left w:val="nil"/>
                    <w:bottom w:val="double" w:sz="6" w:space="0" w:color="FF0000"/>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50 892</w:t>
                  </w:r>
                </w:p>
              </w:tc>
              <w:tc>
                <w:tcPr>
                  <w:tcW w:w="1246" w:type="dxa"/>
                  <w:tcBorders>
                    <w:top w:val="double" w:sz="6" w:space="0" w:color="FF0000"/>
                    <w:left w:val="nil"/>
                    <w:bottom w:val="double" w:sz="6" w:space="0" w:color="FF0000"/>
                    <w:right w:val="nil"/>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92,0%</w:t>
                  </w:r>
                </w:p>
              </w:tc>
              <w:tc>
                <w:tcPr>
                  <w:tcW w:w="925" w:type="dxa"/>
                  <w:tcBorders>
                    <w:top w:val="double" w:sz="6" w:space="0" w:color="FF0000"/>
                    <w:left w:val="double" w:sz="6" w:space="0" w:color="auto"/>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358 347</w:t>
                  </w:r>
                </w:p>
              </w:tc>
              <w:tc>
                <w:tcPr>
                  <w:tcW w:w="1078" w:type="dxa"/>
                  <w:tcBorders>
                    <w:top w:val="double" w:sz="6" w:space="0" w:color="FF0000"/>
                    <w:left w:val="nil"/>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197 322</w:t>
                  </w:r>
                </w:p>
              </w:tc>
              <w:tc>
                <w:tcPr>
                  <w:tcW w:w="1417" w:type="dxa"/>
                  <w:tcBorders>
                    <w:top w:val="double" w:sz="6" w:space="0" w:color="FF0000"/>
                    <w:left w:val="nil"/>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55,1%</w:t>
                  </w:r>
                </w:p>
              </w:tc>
              <w:tc>
                <w:tcPr>
                  <w:tcW w:w="1028" w:type="dxa"/>
                  <w:tcBorders>
                    <w:top w:val="double" w:sz="6" w:space="0" w:color="FF0000"/>
                    <w:left w:val="nil"/>
                    <w:bottom w:val="double" w:sz="6" w:space="0" w:color="FF0000"/>
                    <w:right w:val="double" w:sz="6" w:space="0" w:color="333333"/>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159 240</w:t>
                  </w:r>
                </w:p>
              </w:tc>
              <w:tc>
                <w:tcPr>
                  <w:tcW w:w="1170" w:type="dxa"/>
                  <w:tcBorders>
                    <w:top w:val="double" w:sz="6" w:space="0" w:color="FF0000"/>
                    <w:left w:val="nil"/>
                    <w:bottom w:val="double" w:sz="6" w:space="0" w:color="FF0000"/>
                    <w:right w:val="double" w:sz="6" w:space="0" w:color="FF0000"/>
                  </w:tcBorders>
                  <w:shd w:val="clear" w:color="000000" w:fill="538DD5"/>
                  <w:noWrap/>
                  <w:vAlign w:val="bottom"/>
                </w:tcPr>
                <w:p w:rsidR="00AD4CA2" w:rsidRPr="003E70CB" w:rsidRDefault="00AD4CA2" w:rsidP="003E70CB">
                  <w:pPr>
                    <w:spacing w:after="0" w:line="240" w:lineRule="auto"/>
                    <w:jc w:val="right"/>
                    <w:rPr>
                      <w:rFonts w:eastAsia="Times New Roman" w:cs="Calibri"/>
                      <w:b/>
                      <w:bCs/>
                      <w:lang w:eastAsia="pl-PL"/>
                    </w:rPr>
                  </w:pPr>
                  <w:r>
                    <w:rPr>
                      <w:rFonts w:cs="Calibri"/>
                      <w:b/>
                      <w:bCs/>
                    </w:rPr>
                    <w:t>46 835</w:t>
                  </w:r>
                </w:p>
              </w:tc>
            </w:tr>
          </w:tbl>
          <w:p w:rsidR="00BF2494" w:rsidRDefault="00BF2494" w:rsidP="00981B1C">
            <w:pPr>
              <w:autoSpaceDE w:val="0"/>
              <w:autoSpaceDN w:val="0"/>
              <w:adjustRightInd w:val="0"/>
              <w:spacing w:after="0" w:line="240" w:lineRule="auto"/>
              <w:jc w:val="both"/>
              <w:rPr>
                <w:rFonts w:cs="Calibri"/>
                <w:b/>
                <w:bCs/>
                <w:color w:val="000000"/>
                <w:sz w:val="20"/>
                <w:szCs w:val="20"/>
                <w:lang w:eastAsia="pl-PL"/>
              </w:rPr>
            </w:pPr>
          </w:p>
          <w:p w:rsidR="00565B8A" w:rsidRDefault="00565B8A" w:rsidP="00981B1C">
            <w:pPr>
              <w:autoSpaceDE w:val="0"/>
              <w:autoSpaceDN w:val="0"/>
              <w:adjustRightInd w:val="0"/>
              <w:spacing w:after="0" w:line="240" w:lineRule="auto"/>
              <w:jc w:val="both"/>
              <w:rPr>
                <w:rFonts w:cs="Calibri"/>
                <w:b/>
                <w:bCs/>
                <w:color w:val="000000"/>
                <w:sz w:val="20"/>
                <w:szCs w:val="20"/>
                <w:lang w:eastAsia="pl-PL"/>
              </w:rPr>
            </w:pPr>
          </w:p>
          <w:p w:rsidR="00981B1C" w:rsidRPr="000142BF" w:rsidRDefault="00981B1C" w:rsidP="000C33B3">
            <w:pPr>
              <w:autoSpaceDE w:val="0"/>
              <w:autoSpaceDN w:val="0"/>
              <w:adjustRightInd w:val="0"/>
              <w:spacing w:after="0" w:line="240" w:lineRule="auto"/>
              <w:jc w:val="both"/>
              <w:rPr>
                <w:rFonts w:cs="Calibri"/>
                <w:bCs/>
                <w:color w:val="000000"/>
                <w:sz w:val="20"/>
                <w:szCs w:val="20"/>
                <w:lang w:eastAsia="pl-PL"/>
              </w:rPr>
            </w:pPr>
          </w:p>
        </w:tc>
      </w:tr>
    </w:tbl>
    <w:p w:rsidR="00981B1C" w:rsidRDefault="00981B1C" w:rsidP="0043575D">
      <w:pPr>
        <w:spacing w:before="120" w:after="120"/>
        <w:ind w:left="360"/>
        <w:contextualSpacing/>
        <w:jc w:val="both"/>
        <w:rPr>
          <w:sz w:val="20"/>
          <w:szCs w:val="20"/>
        </w:rPr>
        <w:sectPr w:rsidR="00981B1C" w:rsidSect="00981B1C">
          <w:pgSz w:w="16838" w:h="11906" w:orient="landscape" w:code="9"/>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1B1C" w:rsidRPr="00CC3C1B" w:rsidTr="000C33B3">
        <w:tc>
          <w:tcPr>
            <w:tcW w:w="9212" w:type="dxa"/>
            <w:shd w:val="clear" w:color="auto" w:fill="auto"/>
          </w:tcPr>
          <w:p w:rsidR="00FF2163" w:rsidRDefault="00981B1C" w:rsidP="00BB5A64">
            <w:pPr>
              <w:autoSpaceDE w:val="0"/>
              <w:autoSpaceDN w:val="0"/>
              <w:adjustRightInd w:val="0"/>
              <w:spacing w:before="120" w:after="120" w:line="240" w:lineRule="auto"/>
              <w:jc w:val="both"/>
              <w:rPr>
                <w:rFonts w:cs="Calibri"/>
                <w:bCs/>
                <w:color w:val="000000"/>
                <w:sz w:val="20"/>
                <w:szCs w:val="20"/>
                <w:lang w:eastAsia="pl-PL"/>
              </w:rPr>
            </w:pPr>
            <w:r w:rsidRPr="00CC3C1B">
              <w:rPr>
                <w:rFonts w:cs="Calibri"/>
                <w:bCs/>
                <w:color w:val="000000"/>
                <w:sz w:val="20"/>
                <w:szCs w:val="20"/>
                <w:lang w:eastAsia="pl-PL"/>
              </w:rPr>
              <w:lastRenderedPageBreak/>
              <w:t>Alokacja na dofinansowanie projektów w województwie mazowieckim w wysoko</w:t>
            </w:r>
            <w:r>
              <w:rPr>
                <w:rFonts w:cs="Calibri"/>
                <w:bCs/>
                <w:color w:val="000000"/>
                <w:sz w:val="20"/>
                <w:szCs w:val="20"/>
                <w:lang w:eastAsia="pl-PL"/>
              </w:rPr>
              <w:t xml:space="preserve">ści </w:t>
            </w:r>
            <w:r w:rsidR="00BF2494" w:rsidRPr="00227FE0">
              <w:rPr>
                <w:rFonts w:cs="Calibri"/>
                <w:bCs/>
                <w:color w:val="000000"/>
                <w:sz w:val="20"/>
                <w:szCs w:val="20"/>
                <w:lang w:eastAsia="pl-PL"/>
              </w:rPr>
              <w:t>2</w:t>
            </w:r>
            <w:r w:rsidR="00870CF9">
              <w:rPr>
                <w:rFonts w:cs="Calibri"/>
                <w:bCs/>
                <w:color w:val="000000"/>
                <w:sz w:val="20"/>
                <w:szCs w:val="20"/>
                <w:lang w:eastAsia="pl-PL"/>
              </w:rPr>
              <w:t>19</w:t>
            </w:r>
            <w:r w:rsidR="002D3108">
              <w:rPr>
                <w:rFonts w:cs="Calibri"/>
                <w:bCs/>
                <w:color w:val="000000"/>
                <w:sz w:val="20"/>
                <w:szCs w:val="20"/>
                <w:lang w:eastAsia="pl-PL"/>
              </w:rPr>
              <w:t> </w:t>
            </w:r>
            <w:r w:rsidR="00870CF9">
              <w:rPr>
                <w:rFonts w:cs="Calibri"/>
                <w:bCs/>
                <w:color w:val="000000"/>
                <w:sz w:val="20"/>
                <w:szCs w:val="20"/>
                <w:lang w:eastAsia="pl-PL"/>
              </w:rPr>
              <w:t>155</w:t>
            </w:r>
            <w:r w:rsidR="002D3108">
              <w:rPr>
                <w:rFonts w:cs="Calibri"/>
                <w:bCs/>
                <w:color w:val="000000"/>
                <w:sz w:val="20"/>
                <w:szCs w:val="20"/>
                <w:lang w:eastAsia="pl-PL"/>
              </w:rPr>
              <w:t xml:space="preserve"> </w:t>
            </w:r>
            <w:r w:rsidR="00870CF9">
              <w:rPr>
                <w:rFonts w:cs="Calibri"/>
                <w:bCs/>
                <w:color w:val="000000"/>
                <w:sz w:val="20"/>
                <w:szCs w:val="20"/>
                <w:lang w:eastAsia="pl-PL"/>
              </w:rPr>
              <w:t>191</w:t>
            </w:r>
            <w:r>
              <w:rPr>
                <w:rFonts w:cs="Calibri"/>
                <w:bCs/>
                <w:color w:val="000000"/>
                <w:sz w:val="20"/>
                <w:szCs w:val="20"/>
                <w:lang w:eastAsia="pl-PL"/>
              </w:rPr>
              <w:t xml:space="preserve"> PLN stanowi </w:t>
            </w:r>
            <w:r w:rsidR="00BF2494">
              <w:rPr>
                <w:rFonts w:cs="Calibri"/>
                <w:bCs/>
                <w:color w:val="000000"/>
                <w:sz w:val="20"/>
                <w:szCs w:val="20"/>
                <w:lang w:eastAsia="pl-PL"/>
              </w:rPr>
              <w:t>27,</w:t>
            </w:r>
            <w:r w:rsidR="00870CF9">
              <w:rPr>
                <w:rFonts w:cs="Calibri"/>
                <w:bCs/>
                <w:color w:val="000000"/>
                <w:sz w:val="20"/>
                <w:szCs w:val="20"/>
                <w:lang w:eastAsia="pl-PL"/>
              </w:rPr>
              <w:t>4</w:t>
            </w:r>
            <w:r w:rsidRPr="00CC3C1B">
              <w:rPr>
                <w:rFonts w:cs="Calibri"/>
                <w:bCs/>
                <w:color w:val="000000"/>
                <w:sz w:val="20"/>
                <w:szCs w:val="20"/>
                <w:lang w:eastAsia="pl-PL"/>
              </w:rPr>
              <w:t>% środków niezbędnych, aby projekty w obszarach przyjętych do wsparcia w ramach POPC (kategoria gmin 6-11) były realizowane. Zatem z 1</w:t>
            </w:r>
            <w:r>
              <w:rPr>
                <w:rFonts w:cs="Calibri"/>
                <w:bCs/>
                <w:color w:val="000000"/>
                <w:sz w:val="20"/>
                <w:szCs w:val="20"/>
                <w:lang w:eastAsia="pl-PL"/>
              </w:rPr>
              <w:t>85</w:t>
            </w:r>
            <w:r w:rsidRPr="00CC3C1B">
              <w:rPr>
                <w:rFonts w:cs="Calibri"/>
                <w:bCs/>
                <w:color w:val="000000"/>
                <w:sz w:val="20"/>
                <w:szCs w:val="20"/>
                <w:lang w:eastAsia="pl-PL"/>
              </w:rPr>
              <w:t> </w:t>
            </w:r>
            <w:r>
              <w:rPr>
                <w:rFonts w:cs="Calibri"/>
                <w:bCs/>
                <w:color w:val="000000"/>
                <w:sz w:val="20"/>
                <w:szCs w:val="20"/>
                <w:lang w:eastAsia="pl-PL"/>
              </w:rPr>
              <w:t>960</w:t>
            </w:r>
            <w:r w:rsidRPr="00CC3C1B">
              <w:rPr>
                <w:rFonts w:cs="Calibri"/>
                <w:bCs/>
                <w:color w:val="000000"/>
                <w:sz w:val="20"/>
                <w:szCs w:val="20"/>
                <w:lang w:eastAsia="pl-PL"/>
              </w:rPr>
              <w:t xml:space="preserve"> gospodarstw domowych, które zgodnie z przyjętymi założeniami kwalifikują się do objęcia interwencją, dostępna alokacja umożliwi objęcie dostępem do sieci dla </w:t>
            </w:r>
            <w:r w:rsidR="00FF2163">
              <w:rPr>
                <w:rFonts w:cs="Calibri"/>
                <w:bCs/>
                <w:color w:val="000000"/>
                <w:sz w:val="20"/>
                <w:szCs w:val="20"/>
                <w:lang w:eastAsia="pl-PL"/>
              </w:rPr>
              <w:t>5</w:t>
            </w:r>
            <w:r w:rsidR="00870CF9">
              <w:rPr>
                <w:rFonts w:cs="Calibri"/>
                <w:bCs/>
                <w:color w:val="000000"/>
                <w:sz w:val="20"/>
                <w:szCs w:val="20"/>
                <w:lang w:eastAsia="pl-PL"/>
              </w:rPr>
              <w:t>0</w:t>
            </w:r>
            <w:r w:rsidR="00FF2163">
              <w:rPr>
                <w:rFonts w:cs="Calibri"/>
                <w:bCs/>
                <w:color w:val="000000"/>
                <w:sz w:val="20"/>
                <w:szCs w:val="20"/>
                <w:lang w:eastAsia="pl-PL"/>
              </w:rPr>
              <w:t xml:space="preserve"> </w:t>
            </w:r>
            <w:r w:rsidR="00870CF9">
              <w:rPr>
                <w:rFonts w:cs="Calibri"/>
                <w:bCs/>
                <w:color w:val="000000"/>
                <w:sz w:val="20"/>
                <w:szCs w:val="20"/>
                <w:lang w:eastAsia="pl-PL"/>
              </w:rPr>
              <w:t>892</w:t>
            </w:r>
            <w:r w:rsidR="002D3108" w:rsidRPr="00CC3C1B">
              <w:rPr>
                <w:rFonts w:cs="Calibri"/>
                <w:bCs/>
                <w:color w:val="000000"/>
                <w:sz w:val="20"/>
                <w:szCs w:val="20"/>
                <w:lang w:eastAsia="pl-PL"/>
              </w:rPr>
              <w:t xml:space="preserve"> </w:t>
            </w:r>
            <w:r w:rsidRPr="00CC3C1B">
              <w:rPr>
                <w:rFonts w:cs="Calibri"/>
                <w:bCs/>
                <w:color w:val="000000"/>
                <w:sz w:val="20"/>
                <w:szCs w:val="20"/>
                <w:lang w:eastAsia="pl-PL"/>
              </w:rPr>
              <w:t>gospodarstw domowych</w:t>
            </w:r>
            <w:r w:rsidR="00037B76">
              <w:rPr>
                <w:rFonts w:cs="Calibri"/>
                <w:bCs/>
                <w:color w:val="000000"/>
                <w:sz w:val="20"/>
                <w:szCs w:val="20"/>
                <w:lang w:eastAsia="pl-PL"/>
              </w:rPr>
              <w:t>.</w:t>
            </w:r>
            <w:r>
              <w:rPr>
                <w:rFonts w:cs="Calibri"/>
                <w:bCs/>
                <w:color w:val="000000"/>
                <w:sz w:val="20"/>
                <w:szCs w:val="20"/>
                <w:lang w:eastAsia="pl-PL"/>
              </w:rPr>
              <w:t xml:space="preserve"> </w:t>
            </w:r>
            <w:r w:rsidR="00037B76" w:rsidRPr="008F6D5F">
              <w:rPr>
                <w:rFonts w:cs="Calibri"/>
                <w:bCs/>
                <w:color w:val="000000"/>
                <w:sz w:val="20"/>
                <w:szCs w:val="20"/>
                <w:lang w:eastAsia="pl-PL"/>
              </w:rPr>
              <w:t>Ponadto,</w:t>
            </w:r>
            <w:r w:rsidR="00037B76">
              <w:rPr>
                <w:rFonts w:cs="Calibri"/>
                <w:bCs/>
                <w:color w:val="000000"/>
                <w:sz w:val="20"/>
                <w:szCs w:val="20"/>
                <w:lang w:eastAsia="pl-PL"/>
              </w:rPr>
              <w:t xml:space="preserve"> </w:t>
            </w:r>
            <w:r>
              <w:rPr>
                <w:rFonts w:cs="Calibri"/>
                <w:bCs/>
                <w:color w:val="000000"/>
                <w:sz w:val="20"/>
                <w:szCs w:val="20"/>
                <w:lang w:eastAsia="pl-PL"/>
              </w:rPr>
              <w:t xml:space="preserve">ze względu na fakt, że kategorie gmin wymagające największych nakładów to obszary o rozproszonej zabudowie oraz trudnych warunkach ze względu na ukształtowanie terenu, cechujące się bardzo wysokimi kosztami tworzenia infrastruktury, uzasadnione jest tworzenie tu sieci o nieco niższych parametrach. W efekcie, przyjęto, że część gospodarstw domowych z obszarów zakwalifikowanych do wsparcia z POPC może zostać objęta dostępem do sieci o przepustowości poniżej 30 </w:t>
            </w:r>
            <w:proofErr w:type="spellStart"/>
            <w:r>
              <w:rPr>
                <w:rFonts w:cs="Calibri"/>
                <w:bCs/>
                <w:color w:val="000000"/>
                <w:sz w:val="20"/>
                <w:szCs w:val="20"/>
                <w:lang w:eastAsia="pl-PL"/>
              </w:rPr>
              <w:t>Mb</w:t>
            </w:r>
            <w:proofErr w:type="spellEnd"/>
            <w:r>
              <w:rPr>
                <w:rFonts w:cs="Calibri"/>
                <w:bCs/>
                <w:color w:val="000000"/>
                <w:sz w:val="20"/>
                <w:szCs w:val="20"/>
                <w:lang w:eastAsia="pl-PL"/>
              </w:rPr>
              <w:t xml:space="preserve">/s, przy czym, udział gospodarstw domowych do objęcia inwestycją poniżej 30 </w:t>
            </w:r>
            <w:proofErr w:type="spellStart"/>
            <w:r w:rsidR="008813A5">
              <w:rPr>
                <w:rFonts w:cs="Calibri"/>
                <w:bCs/>
                <w:color w:val="000000"/>
                <w:sz w:val="20"/>
                <w:szCs w:val="20"/>
                <w:lang w:eastAsia="pl-PL"/>
              </w:rPr>
              <w:t>M</w:t>
            </w:r>
            <w:r>
              <w:rPr>
                <w:rFonts w:cs="Calibri"/>
                <w:bCs/>
                <w:color w:val="000000"/>
                <w:sz w:val="20"/>
                <w:szCs w:val="20"/>
                <w:lang w:eastAsia="pl-PL"/>
              </w:rPr>
              <w:t>b</w:t>
            </w:r>
            <w:proofErr w:type="spellEnd"/>
            <w:r>
              <w:rPr>
                <w:rFonts w:cs="Calibri"/>
                <w:bCs/>
                <w:color w:val="000000"/>
                <w:sz w:val="20"/>
                <w:szCs w:val="20"/>
                <w:lang w:eastAsia="pl-PL"/>
              </w:rPr>
              <w:t xml:space="preserve">/s będzie uzasadniony od kategorii 7 i będzie wzrastał, osiągając </w:t>
            </w:r>
            <w:r w:rsidR="003312F9">
              <w:rPr>
                <w:rFonts w:cs="Calibri"/>
                <w:bCs/>
                <w:color w:val="000000"/>
                <w:sz w:val="20"/>
                <w:szCs w:val="20"/>
                <w:lang w:eastAsia="pl-PL"/>
              </w:rPr>
              <w:t>1</w:t>
            </w:r>
            <w:r w:rsidR="00FF2163">
              <w:rPr>
                <w:rFonts w:cs="Calibri"/>
                <w:bCs/>
                <w:color w:val="000000"/>
                <w:sz w:val="20"/>
                <w:szCs w:val="20"/>
                <w:lang w:eastAsia="pl-PL"/>
              </w:rPr>
              <w:t>5</w:t>
            </w:r>
            <w:r>
              <w:rPr>
                <w:rFonts w:cs="Calibri"/>
                <w:bCs/>
                <w:color w:val="000000"/>
                <w:sz w:val="20"/>
                <w:szCs w:val="20"/>
                <w:lang w:eastAsia="pl-PL"/>
              </w:rPr>
              <w:t>% w kategori</w:t>
            </w:r>
            <w:r w:rsidR="0081781C">
              <w:rPr>
                <w:rFonts w:cs="Calibri"/>
                <w:bCs/>
                <w:color w:val="000000"/>
                <w:sz w:val="20"/>
                <w:szCs w:val="20"/>
                <w:lang w:eastAsia="pl-PL"/>
              </w:rPr>
              <w:t>ach 9-</w:t>
            </w:r>
            <w:r>
              <w:rPr>
                <w:rFonts w:cs="Calibri"/>
                <w:bCs/>
                <w:color w:val="000000"/>
                <w:sz w:val="20"/>
                <w:szCs w:val="20"/>
                <w:lang w:eastAsia="pl-PL"/>
              </w:rPr>
              <w:t>11 tj. najtrudniejszych inwestycji.</w:t>
            </w:r>
            <w:r w:rsidR="003312F9">
              <w:rPr>
                <w:rFonts w:cs="Calibri"/>
                <w:bCs/>
                <w:color w:val="000000"/>
                <w:sz w:val="20"/>
                <w:szCs w:val="20"/>
                <w:lang w:eastAsia="pl-PL"/>
              </w:rPr>
              <w:t xml:space="preserve"> W ramach wspartych gospodarstw dostęp do Internetu o przepustowości poniżej 30 </w:t>
            </w:r>
            <w:proofErr w:type="spellStart"/>
            <w:r w:rsidR="008813A5">
              <w:rPr>
                <w:rFonts w:cs="Calibri"/>
                <w:bCs/>
                <w:color w:val="000000"/>
                <w:sz w:val="20"/>
                <w:szCs w:val="20"/>
                <w:lang w:eastAsia="pl-PL"/>
              </w:rPr>
              <w:t>M</w:t>
            </w:r>
            <w:r w:rsidR="003312F9">
              <w:rPr>
                <w:rFonts w:cs="Calibri"/>
                <w:bCs/>
                <w:color w:val="000000"/>
                <w:sz w:val="20"/>
                <w:szCs w:val="20"/>
                <w:lang w:eastAsia="pl-PL"/>
              </w:rPr>
              <w:t>b</w:t>
            </w:r>
            <w:proofErr w:type="spellEnd"/>
            <w:r w:rsidR="003312F9">
              <w:rPr>
                <w:rFonts w:cs="Calibri"/>
                <w:bCs/>
                <w:color w:val="000000"/>
                <w:sz w:val="20"/>
                <w:szCs w:val="20"/>
                <w:lang w:eastAsia="pl-PL"/>
              </w:rPr>
              <w:t>/s będzie dotyczył w efekcie 8</w:t>
            </w:r>
            <w:r w:rsidR="008A4692">
              <w:rPr>
                <w:rFonts w:cs="Calibri"/>
                <w:bCs/>
                <w:color w:val="000000"/>
                <w:sz w:val="20"/>
                <w:szCs w:val="20"/>
                <w:lang w:eastAsia="pl-PL"/>
              </w:rPr>
              <w:t>,0</w:t>
            </w:r>
            <w:r w:rsidR="003312F9">
              <w:rPr>
                <w:rFonts w:cs="Calibri"/>
                <w:bCs/>
                <w:color w:val="000000"/>
                <w:sz w:val="20"/>
                <w:szCs w:val="20"/>
                <w:lang w:eastAsia="pl-PL"/>
              </w:rPr>
              <w:t xml:space="preserve">% wspartych podmiotów. </w:t>
            </w:r>
            <w:r>
              <w:rPr>
                <w:rFonts w:cs="Calibri"/>
                <w:bCs/>
                <w:color w:val="000000"/>
                <w:sz w:val="20"/>
                <w:szCs w:val="20"/>
                <w:lang w:eastAsia="pl-PL"/>
              </w:rPr>
              <w:t xml:space="preserve">Dostępna alokacja w ramach </w:t>
            </w:r>
            <w:r w:rsidR="00317FC4">
              <w:rPr>
                <w:rFonts w:cs="Calibri"/>
                <w:bCs/>
                <w:color w:val="000000"/>
                <w:sz w:val="20"/>
                <w:szCs w:val="20"/>
                <w:lang w:eastAsia="pl-PL"/>
              </w:rPr>
              <w:t xml:space="preserve">osi </w:t>
            </w:r>
            <w:proofErr w:type="spellStart"/>
            <w:r w:rsidR="00317FC4">
              <w:rPr>
                <w:rFonts w:cs="Calibri"/>
                <w:bCs/>
                <w:color w:val="000000"/>
                <w:sz w:val="20"/>
                <w:szCs w:val="20"/>
                <w:lang w:eastAsia="pl-PL"/>
              </w:rPr>
              <w:t>priorytetowejI</w:t>
            </w:r>
            <w:proofErr w:type="spellEnd"/>
            <w:r w:rsidR="00317FC4">
              <w:rPr>
                <w:rFonts w:cs="Calibri"/>
                <w:bCs/>
                <w:color w:val="000000"/>
                <w:sz w:val="20"/>
                <w:szCs w:val="20"/>
                <w:lang w:eastAsia="pl-PL"/>
              </w:rPr>
              <w:t xml:space="preserve"> </w:t>
            </w:r>
            <w:r>
              <w:rPr>
                <w:rFonts w:cs="Calibri"/>
                <w:bCs/>
                <w:color w:val="000000"/>
                <w:sz w:val="20"/>
                <w:szCs w:val="20"/>
                <w:lang w:eastAsia="pl-PL"/>
              </w:rPr>
              <w:t xml:space="preserve">POPC umożliwi zatem </w:t>
            </w:r>
            <w:r w:rsidRPr="00CC3C1B">
              <w:rPr>
                <w:rFonts w:cs="Calibri"/>
                <w:bCs/>
                <w:color w:val="000000"/>
                <w:sz w:val="20"/>
                <w:szCs w:val="20"/>
                <w:lang w:eastAsia="pl-PL"/>
              </w:rPr>
              <w:t>objęcie szerokopasmowym dostępem do sieci</w:t>
            </w:r>
            <w:r>
              <w:rPr>
                <w:rFonts w:cs="Calibri"/>
                <w:bCs/>
                <w:color w:val="000000"/>
                <w:sz w:val="20"/>
                <w:szCs w:val="20"/>
                <w:lang w:eastAsia="pl-PL"/>
              </w:rPr>
              <w:t xml:space="preserve"> o przepustowości co najmniej 30 </w:t>
            </w:r>
            <w:proofErr w:type="spellStart"/>
            <w:r>
              <w:rPr>
                <w:rFonts w:cs="Calibri"/>
                <w:bCs/>
                <w:color w:val="000000"/>
                <w:sz w:val="20"/>
                <w:szCs w:val="20"/>
                <w:lang w:eastAsia="pl-PL"/>
              </w:rPr>
              <w:t>Mb</w:t>
            </w:r>
            <w:proofErr w:type="spellEnd"/>
            <w:r>
              <w:rPr>
                <w:rFonts w:cs="Calibri"/>
                <w:bCs/>
                <w:color w:val="000000"/>
                <w:sz w:val="20"/>
                <w:szCs w:val="20"/>
                <w:lang w:eastAsia="pl-PL"/>
              </w:rPr>
              <w:t xml:space="preserve">/s dla </w:t>
            </w:r>
            <w:r w:rsidR="00BF2494" w:rsidRPr="00227FE0">
              <w:rPr>
                <w:rFonts w:cs="Calibri"/>
                <w:b/>
                <w:bCs/>
                <w:color w:val="000000"/>
                <w:sz w:val="20"/>
                <w:szCs w:val="20"/>
                <w:lang w:eastAsia="pl-PL"/>
              </w:rPr>
              <w:t>4</w:t>
            </w:r>
            <w:r w:rsidR="00870CF9">
              <w:rPr>
                <w:rFonts w:cs="Calibri"/>
                <w:b/>
                <w:bCs/>
                <w:color w:val="000000"/>
                <w:sz w:val="20"/>
                <w:szCs w:val="20"/>
                <w:lang w:eastAsia="pl-PL"/>
              </w:rPr>
              <w:t>6</w:t>
            </w:r>
            <w:r w:rsidR="00BF2494" w:rsidRPr="00227FE0">
              <w:rPr>
                <w:rFonts w:cs="Calibri"/>
                <w:b/>
                <w:bCs/>
                <w:color w:val="000000"/>
                <w:sz w:val="20"/>
                <w:szCs w:val="20"/>
                <w:lang w:eastAsia="pl-PL"/>
              </w:rPr>
              <w:t xml:space="preserve"> </w:t>
            </w:r>
            <w:r w:rsidR="00870CF9">
              <w:rPr>
                <w:rFonts w:cs="Calibri"/>
                <w:b/>
                <w:bCs/>
                <w:color w:val="000000"/>
                <w:sz w:val="20"/>
                <w:szCs w:val="20"/>
                <w:lang w:eastAsia="pl-PL"/>
              </w:rPr>
              <w:t>835</w:t>
            </w:r>
            <w:r w:rsidR="002D3108">
              <w:rPr>
                <w:rFonts w:cs="Calibri"/>
                <w:bCs/>
                <w:color w:val="000000"/>
                <w:sz w:val="20"/>
                <w:szCs w:val="20"/>
                <w:lang w:eastAsia="pl-PL"/>
              </w:rPr>
              <w:t xml:space="preserve"> </w:t>
            </w:r>
            <w:r>
              <w:rPr>
                <w:rFonts w:cs="Calibri"/>
                <w:bCs/>
                <w:color w:val="000000"/>
                <w:sz w:val="20"/>
                <w:szCs w:val="20"/>
                <w:lang w:eastAsia="pl-PL"/>
              </w:rPr>
              <w:t>gospodarstw domowych w województwie mazowieckim</w:t>
            </w:r>
            <w:r w:rsidR="008F6D5F">
              <w:rPr>
                <w:rFonts w:cs="Calibri"/>
                <w:bCs/>
                <w:color w:val="000000"/>
                <w:sz w:val="20"/>
                <w:szCs w:val="20"/>
                <w:lang w:eastAsia="pl-PL"/>
              </w:rPr>
              <w:t>.</w:t>
            </w:r>
          </w:p>
          <w:p w:rsidR="00FF2163" w:rsidRDefault="00FF2163" w:rsidP="00BB5A64">
            <w:pPr>
              <w:autoSpaceDE w:val="0"/>
              <w:autoSpaceDN w:val="0"/>
              <w:adjustRightInd w:val="0"/>
              <w:spacing w:before="120" w:after="120" w:line="240" w:lineRule="auto"/>
              <w:jc w:val="both"/>
              <w:rPr>
                <w:rFonts w:cs="Calibri"/>
                <w:bCs/>
                <w:color w:val="000000"/>
                <w:sz w:val="20"/>
                <w:szCs w:val="20"/>
                <w:lang w:eastAsia="pl-PL"/>
              </w:rPr>
            </w:pPr>
            <w:r>
              <w:rPr>
                <w:rFonts w:cs="Calibri"/>
                <w:bCs/>
                <w:color w:val="000000"/>
                <w:sz w:val="20"/>
                <w:szCs w:val="20"/>
                <w:lang w:eastAsia="pl-PL"/>
              </w:rPr>
              <w:t>Poniżej przedstawiono wyliczenia w ramach regionów słabiej rozwiniętych:</w:t>
            </w:r>
          </w:p>
          <w:p w:rsidR="00DE0F26" w:rsidRPr="005A36AC" w:rsidRDefault="00DE0F26" w:rsidP="00BB5A64">
            <w:pPr>
              <w:pStyle w:val="Legenda"/>
              <w:keepNext/>
            </w:pPr>
            <w:bookmarkStart w:id="14" w:name="_Toc401826762"/>
            <w:r w:rsidRPr="005A36AC">
              <w:t xml:space="preserve">Tabela </w:t>
            </w:r>
            <w:r w:rsidR="00050B55">
              <w:fldChar w:fldCharType="begin"/>
            </w:r>
            <w:r w:rsidR="00050B55">
              <w:instrText xml:space="preserve"> SEQ Tabela \* ARABIC </w:instrText>
            </w:r>
            <w:r w:rsidR="00050B55">
              <w:fldChar w:fldCharType="separate"/>
            </w:r>
            <w:r w:rsidR="002570DE">
              <w:rPr>
                <w:noProof/>
              </w:rPr>
              <w:t>9</w:t>
            </w:r>
            <w:r w:rsidR="00050B55">
              <w:rPr>
                <w:noProof/>
              </w:rPr>
              <w:fldChar w:fldCharType="end"/>
            </w:r>
            <w:r w:rsidRPr="005A36AC">
              <w:t xml:space="preserve"> - Nakłady niezbędne dla podłączenia do Internetu gospodarstw domowych w regionach słabiej rozwiniętym (w tys. PLN)</w:t>
            </w:r>
            <w:bookmarkEnd w:id="14"/>
          </w:p>
          <w:tbl>
            <w:tblPr>
              <w:tblW w:w="8624" w:type="dxa"/>
              <w:tblCellMar>
                <w:left w:w="70" w:type="dxa"/>
                <w:right w:w="70" w:type="dxa"/>
              </w:tblCellMar>
              <w:tblLook w:val="04A0" w:firstRow="1" w:lastRow="0" w:firstColumn="1" w:lastColumn="0" w:noHBand="0" w:noVBand="1"/>
            </w:tblPr>
            <w:tblGrid>
              <w:gridCol w:w="1320"/>
              <w:gridCol w:w="1420"/>
              <w:gridCol w:w="1320"/>
              <w:gridCol w:w="1604"/>
              <w:gridCol w:w="1300"/>
              <w:gridCol w:w="1660"/>
            </w:tblGrid>
            <w:tr w:rsidR="00FF2163" w:rsidRPr="00FF2163" w:rsidTr="00BB5A64">
              <w:trPr>
                <w:trHeight w:val="2730"/>
              </w:trPr>
              <w:tc>
                <w:tcPr>
                  <w:tcW w:w="1320" w:type="dxa"/>
                  <w:tcBorders>
                    <w:top w:val="double" w:sz="6" w:space="0" w:color="3F3F3F"/>
                    <w:left w:val="double" w:sz="6" w:space="0" w:color="3F3F3F"/>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Kategoria gminy</w:t>
                  </w:r>
                </w:p>
              </w:tc>
              <w:tc>
                <w:tcPr>
                  <w:tcW w:w="142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 xml:space="preserve"> Nakłady łącznie</w:t>
                  </w:r>
                </w:p>
              </w:tc>
              <w:tc>
                <w:tcPr>
                  <w:tcW w:w="132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Dopłata ze środków publicznych</w:t>
                  </w:r>
                </w:p>
              </w:tc>
              <w:tc>
                <w:tcPr>
                  <w:tcW w:w="1604"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Poziom dofinansowania</w:t>
                  </w:r>
                </w:p>
              </w:tc>
              <w:tc>
                <w:tcPr>
                  <w:tcW w:w="130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Liczba ludności do objęcia nową inwestycją w gminie</w:t>
                  </w:r>
                </w:p>
              </w:tc>
              <w:tc>
                <w:tcPr>
                  <w:tcW w:w="1660" w:type="dxa"/>
                  <w:tcBorders>
                    <w:top w:val="double" w:sz="6" w:space="0" w:color="3F3F3F"/>
                    <w:left w:val="nil"/>
                    <w:bottom w:val="double" w:sz="6" w:space="0" w:color="3F3F3F"/>
                    <w:right w:val="double" w:sz="6" w:space="0" w:color="3F3F3F"/>
                  </w:tcBorders>
                  <w:shd w:val="clear" w:color="000000" w:fill="95B3D7"/>
                  <w:vAlign w:val="bottom"/>
                </w:tcPr>
                <w:p w:rsidR="00FF2163" w:rsidRPr="00FF2163" w:rsidRDefault="00FF2163" w:rsidP="00FF2163">
                  <w:pPr>
                    <w:spacing w:after="0" w:line="240" w:lineRule="auto"/>
                    <w:jc w:val="center"/>
                    <w:rPr>
                      <w:rFonts w:eastAsia="Times New Roman" w:cs="Calibri"/>
                      <w:b/>
                      <w:bCs/>
                      <w:lang w:eastAsia="pl-PL"/>
                    </w:rPr>
                  </w:pPr>
                  <w:r w:rsidRPr="00FF2163">
                    <w:rPr>
                      <w:rFonts w:eastAsia="Times New Roman" w:cs="Calibri"/>
                      <w:b/>
                      <w:bCs/>
                      <w:lang w:eastAsia="pl-PL"/>
                    </w:rPr>
                    <w:t>Liczba gospodarstw domowych do objęcia nową inwestycją w gminie</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w:t>
                  </w:r>
                </w:p>
              </w:tc>
              <w:tc>
                <w:tcPr>
                  <w:tcW w:w="14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1 425 919</w:t>
                  </w:r>
                </w:p>
              </w:tc>
              <w:tc>
                <w:tcPr>
                  <w:tcW w:w="13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w:t>
                  </w:r>
                </w:p>
              </w:tc>
              <w:tc>
                <w:tcPr>
                  <w:tcW w:w="1604"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0,0%</w:t>
                  </w:r>
                </w:p>
              </w:tc>
              <w:tc>
                <w:tcPr>
                  <w:tcW w:w="130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4 712 588</w:t>
                  </w:r>
                </w:p>
              </w:tc>
              <w:tc>
                <w:tcPr>
                  <w:tcW w:w="166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1 853 093</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w:t>
                  </w:r>
                </w:p>
              </w:tc>
              <w:tc>
                <w:tcPr>
                  <w:tcW w:w="14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637 545</w:t>
                  </w:r>
                </w:p>
              </w:tc>
              <w:tc>
                <w:tcPr>
                  <w:tcW w:w="13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w:t>
                  </w:r>
                </w:p>
              </w:tc>
              <w:tc>
                <w:tcPr>
                  <w:tcW w:w="1604"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0,0%</w:t>
                  </w:r>
                </w:p>
              </w:tc>
              <w:tc>
                <w:tcPr>
                  <w:tcW w:w="130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1 278 833</w:t>
                  </w:r>
                </w:p>
              </w:tc>
              <w:tc>
                <w:tcPr>
                  <w:tcW w:w="166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423 486</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w:t>
                  </w:r>
                </w:p>
              </w:tc>
              <w:tc>
                <w:tcPr>
                  <w:tcW w:w="14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1 306 725</w:t>
                  </w:r>
                </w:p>
              </w:tc>
              <w:tc>
                <w:tcPr>
                  <w:tcW w:w="132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w:t>
                  </w:r>
                </w:p>
              </w:tc>
              <w:tc>
                <w:tcPr>
                  <w:tcW w:w="1604"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0,0%</w:t>
                  </w:r>
                </w:p>
              </w:tc>
              <w:tc>
                <w:tcPr>
                  <w:tcW w:w="130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1 624 975</w:t>
                  </w:r>
                </w:p>
              </w:tc>
              <w:tc>
                <w:tcPr>
                  <w:tcW w:w="1660" w:type="dxa"/>
                  <w:tcBorders>
                    <w:top w:val="nil"/>
                    <w:left w:val="nil"/>
                    <w:bottom w:val="double" w:sz="6" w:space="0" w:color="3F3F3F"/>
                    <w:right w:val="double" w:sz="6" w:space="0" w:color="3F3F3F"/>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479 906</w:t>
                  </w:r>
                </w:p>
              </w:tc>
            </w:tr>
            <w:tr w:rsidR="00FF2163" w:rsidRPr="00FF2163" w:rsidTr="00BB5A64">
              <w:trPr>
                <w:trHeight w:val="330"/>
              </w:trPr>
              <w:tc>
                <w:tcPr>
                  <w:tcW w:w="1320" w:type="dxa"/>
                  <w:tcBorders>
                    <w:top w:val="nil"/>
                    <w:left w:val="double" w:sz="6" w:space="0" w:color="3F3F3F"/>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w:t>
                  </w:r>
                </w:p>
              </w:tc>
              <w:tc>
                <w:tcPr>
                  <w:tcW w:w="14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1 680 022</w:t>
                  </w:r>
                </w:p>
              </w:tc>
              <w:tc>
                <w:tcPr>
                  <w:tcW w:w="132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107 129</w:t>
                  </w:r>
                </w:p>
              </w:tc>
              <w:tc>
                <w:tcPr>
                  <w:tcW w:w="1604"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6,4%</w:t>
                  </w:r>
                </w:p>
              </w:tc>
              <w:tc>
                <w:tcPr>
                  <w:tcW w:w="130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1 543 636</w:t>
                  </w:r>
                </w:p>
              </w:tc>
              <w:tc>
                <w:tcPr>
                  <w:tcW w:w="1660" w:type="dxa"/>
                  <w:tcBorders>
                    <w:top w:val="nil"/>
                    <w:left w:val="nil"/>
                    <w:bottom w:val="double" w:sz="6" w:space="0" w:color="3F3F3F"/>
                    <w:right w:val="double" w:sz="6" w:space="0" w:color="3F3F3F"/>
                  </w:tcBorders>
                  <w:shd w:val="clear" w:color="000000" w:fill="538DD5"/>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454 011</w:t>
                  </w:r>
                </w:p>
              </w:tc>
            </w:tr>
            <w:tr w:rsidR="00FF2163" w:rsidRPr="00FF2163" w:rsidTr="00BB5A64">
              <w:trPr>
                <w:trHeight w:val="330"/>
              </w:trPr>
              <w:tc>
                <w:tcPr>
                  <w:tcW w:w="1320" w:type="dxa"/>
                  <w:tcBorders>
                    <w:top w:val="double" w:sz="6" w:space="0" w:color="333333"/>
                    <w:left w:val="double" w:sz="6" w:space="0" w:color="333333"/>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5</w:t>
                  </w:r>
                </w:p>
              </w:tc>
              <w:tc>
                <w:tcPr>
                  <w:tcW w:w="142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1 737 408</w:t>
                  </w:r>
                </w:p>
              </w:tc>
              <w:tc>
                <w:tcPr>
                  <w:tcW w:w="132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463 690</w:t>
                  </w:r>
                </w:p>
              </w:tc>
              <w:tc>
                <w:tcPr>
                  <w:tcW w:w="1604"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26,7%</w:t>
                  </w:r>
                </w:p>
              </w:tc>
              <w:tc>
                <w:tcPr>
                  <w:tcW w:w="130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1 257 671</w:t>
                  </w:r>
                </w:p>
              </w:tc>
              <w:tc>
                <w:tcPr>
                  <w:tcW w:w="1660" w:type="dxa"/>
                  <w:tcBorders>
                    <w:top w:val="double" w:sz="6" w:space="0" w:color="333333"/>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370 074</w:t>
                  </w:r>
                </w:p>
              </w:tc>
            </w:tr>
            <w:tr w:rsidR="00FF2163" w:rsidRPr="00FF2163" w:rsidTr="00BB5A64">
              <w:trPr>
                <w:trHeight w:val="330"/>
              </w:trPr>
              <w:tc>
                <w:tcPr>
                  <w:tcW w:w="1320" w:type="dxa"/>
                  <w:tcBorders>
                    <w:top w:val="double" w:sz="6" w:space="0" w:color="FF0000"/>
                    <w:left w:val="double" w:sz="6" w:space="0" w:color="FF0000"/>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w:t>
                  </w:r>
                </w:p>
              </w:tc>
              <w:tc>
                <w:tcPr>
                  <w:tcW w:w="1420"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1 780 475</w:t>
                  </w:r>
                </w:p>
              </w:tc>
              <w:tc>
                <w:tcPr>
                  <w:tcW w:w="1320"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702 077</w:t>
                  </w:r>
                </w:p>
              </w:tc>
              <w:tc>
                <w:tcPr>
                  <w:tcW w:w="1604"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39,4%</w:t>
                  </w:r>
                </w:p>
              </w:tc>
              <w:tc>
                <w:tcPr>
                  <w:tcW w:w="1300" w:type="dxa"/>
                  <w:tcBorders>
                    <w:top w:val="double" w:sz="6" w:space="0" w:color="FF0000"/>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1 077 130</w:t>
                  </w:r>
                </w:p>
              </w:tc>
              <w:tc>
                <w:tcPr>
                  <w:tcW w:w="1660" w:type="dxa"/>
                  <w:tcBorders>
                    <w:top w:val="double" w:sz="6" w:space="0" w:color="FF0000"/>
                    <w:left w:val="nil"/>
                    <w:bottom w:val="double" w:sz="6" w:space="0" w:color="333333"/>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316 803</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w:t>
                  </w:r>
                </w:p>
              </w:tc>
              <w:tc>
                <w:tcPr>
                  <w:tcW w:w="14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1 699 599</w:t>
                  </w:r>
                </w:p>
              </w:tc>
              <w:tc>
                <w:tcPr>
                  <w:tcW w:w="13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833 579</w:t>
                  </w:r>
                </w:p>
              </w:tc>
              <w:tc>
                <w:tcPr>
                  <w:tcW w:w="1604"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49,0%</w:t>
                  </w:r>
                </w:p>
              </w:tc>
              <w:tc>
                <w:tcPr>
                  <w:tcW w:w="130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882 490</w:t>
                  </w:r>
                </w:p>
              </w:tc>
              <w:tc>
                <w:tcPr>
                  <w:tcW w:w="1660" w:type="dxa"/>
                  <w:tcBorders>
                    <w:top w:val="nil"/>
                    <w:left w:val="nil"/>
                    <w:bottom w:val="double" w:sz="6" w:space="0" w:color="333333"/>
                    <w:right w:val="double" w:sz="6" w:space="0" w:color="FF0000"/>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259 556</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w:t>
                  </w:r>
                </w:p>
              </w:tc>
              <w:tc>
                <w:tcPr>
                  <w:tcW w:w="14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1 301 579</w:t>
                  </w:r>
                </w:p>
              </w:tc>
              <w:tc>
                <w:tcPr>
                  <w:tcW w:w="13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725 506</w:t>
                  </w:r>
                </w:p>
              </w:tc>
              <w:tc>
                <w:tcPr>
                  <w:tcW w:w="1604"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55,7%</w:t>
                  </w:r>
                </w:p>
              </w:tc>
              <w:tc>
                <w:tcPr>
                  <w:tcW w:w="130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579 177</w:t>
                  </w:r>
                </w:p>
              </w:tc>
              <w:tc>
                <w:tcPr>
                  <w:tcW w:w="1660" w:type="dxa"/>
                  <w:tcBorders>
                    <w:top w:val="nil"/>
                    <w:left w:val="nil"/>
                    <w:bottom w:val="double" w:sz="6" w:space="0" w:color="333333"/>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170 346</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9</w:t>
                  </w:r>
                </w:p>
              </w:tc>
              <w:tc>
                <w:tcPr>
                  <w:tcW w:w="14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981 745</w:t>
                  </w:r>
                </w:p>
              </w:tc>
              <w:tc>
                <w:tcPr>
                  <w:tcW w:w="13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599 604</w:t>
                  </w:r>
                </w:p>
              </w:tc>
              <w:tc>
                <w:tcPr>
                  <w:tcW w:w="1604"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61,1%</w:t>
                  </w:r>
                </w:p>
              </w:tc>
              <w:tc>
                <w:tcPr>
                  <w:tcW w:w="130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382 480</w:t>
                  </w:r>
                </w:p>
              </w:tc>
              <w:tc>
                <w:tcPr>
                  <w:tcW w:w="1660" w:type="dxa"/>
                  <w:tcBorders>
                    <w:top w:val="nil"/>
                    <w:left w:val="nil"/>
                    <w:bottom w:val="double" w:sz="6" w:space="0" w:color="333333"/>
                    <w:right w:val="double" w:sz="6" w:space="0" w:color="FF0000"/>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112 494</w:t>
                  </w:r>
                </w:p>
              </w:tc>
            </w:tr>
            <w:tr w:rsidR="00FF2163" w:rsidRPr="00FF2163" w:rsidTr="00BB5A64">
              <w:trPr>
                <w:trHeight w:val="330"/>
              </w:trPr>
              <w:tc>
                <w:tcPr>
                  <w:tcW w:w="1320" w:type="dxa"/>
                  <w:tcBorders>
                    <w:top w:val="nil"/>
                    <w:left w:val="double" w:sz="6" w:space="0" w:color="FF0000"/>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10</w:t>
                  </w:r>
                </w:p>
              </w:tc>
              <w:tc>
                <w:tcPr>
                  <w:tcW w:w="14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733 326</w:t>
                  </w:r>
                </w:p>
              </w:tc>
              <w:tc>
                <w:tcPr>
                  <w:tcW w:w="132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477 043</w:t>
                  </w:r>
                </w:p>
              </w:tc>
              <w:tc>
                <w:tcPr>
                  <w:tcW w:w="1604"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65,1%</w:t>
                  </w:r>
                </w:p>
              </w:tc>
              <w:tc>
                <w:tcPr>
                  <w:tcW w:w="1300" w:type="dxa"/>
                  <w:tcBorders>
                    <w:top w:val="nil"/>
                    <w:left w:val="nil"/>
                    <w:bottom w:val="double" w:sz="6" w:space="0" w:color="333333"/>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262 732</w:t>
                  </w:r>
                </w:p>
              </w:tc>
              <w:tc>
                <w:tcPr>
                  <w:tcW w:w="1660" w:type="dxa"/>
                  <w:tcBorders>
                    <w:top w:val="nil"/>
                    <w:left w:val="nil"/>
                    <w:bottom w:val="double" w:sz="6" w:space="0" w:color="333333"/>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77 274</w:t>
                  </w:r>
                </w:p>
              </w:tc>
            </w:tr>
            <w:tr w:rsidR="00FF2163" w:rsidRPr="00FF2163" w:rsidTr="00BB5A64">
              <w:trPr>
                <w:trHeight w:val="330"/>
              </w:trPr>
              <w:tc>
                <w:tcPr>
                  <w:tcW w:w="1320" w:type="dxa"/>
                  <w:tcBorders>
                    <w:top w:val="nil"/>
                    <w:left w:val="double" w:sz="6" w:space="0" w:color="FF0000"/>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11</w:t>
                  </w:r>
                </w:p>
              </w:tc>
              <w:tc>
                <w:tcPr>
                  <w:tcW w:w="1420"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1 526 957</w:t>
                  </w:r>
                </w:p>
              </w:tc>
              <w:tc>
                <w:tcPr>
                  <w:tcW w:w="1320"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1 104 771</w:t>
                  </w:r>
                </w:p>
              </w:tc>
              <w:tc>
                <w:tcPr>
                  <w:tcW w:w="1604"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72,4%</w:t>
                  </w:r>
                </w:p>
              </w:tc>
              <w:tc>
                <w:tcPr>
                  <w:tcW w:w="1300" w:type="dxa"/>
                  <w:tcBorders>
                    <w:top w:val="nil"/>
                    <w:left w:val="nil"/>
                    <w:bottom w:val="nil"/>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448 384</w:t>
                  </w:r>
                </w:p>
              </w:tc>
              <w:tc>
                <w:tcPr>
                  <w:tcW w:w="1660" w:type="dxa"/>
                  <w:tcBorders>
                    <w:top w:val="nil"/>
                    <w:left w:val="nil"/>
                    <w:bottom w:val="nil"/>
                    <w:right w:val="double" w:sz="6" w:space="0" w:color="FF0000"/>
                  </w:tcBorders>
                  <w:shd w:val="clear" w:color="000000" w:fill="B8CCE4"/>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131 878</w:t>
                  </w:r>
                </w:p>
              </w:tc>
            </w:tr>
            <w:tr w:rsidR="00FF2163" w:rsidRPr="00FF2163" w:rsidTr="00BB5A64">
              <w:trPr>
                <w:trHeight w:val="330"/>
              </w:trPr>
              <w:tc>
                <w:tcPr>
                  <w:tcW w:w="1320" w:type="dxa"/>
                  <w:tcBorders>
                    <w:top w:val="double" w:sz="6" w:space="0" w:color="FF0000"/>
                    <w:left w:val="double" w:sz="6" w:space="0" w:color="FF0000"/>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6-11</w:t>
                  </w:r>
                </w:p>
              </w:tc>
              <w:tc>
                <w:tcPr>
                  <w:tcW w:w="1420"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8 023 680</w:t>
                  </w:r>
                </w:p>
              </w:tc>
              <w:tc>
                <w:tcPr>
                  <w:tcW w:w="1320"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4 442 581</w:t>
                  </w:r>
                </w:p>
              </w:tc>
              <w:tc>
                <w:tcPr>
                  <w:tcW w:w="1604"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55,4%</w:t>
                  </w:r>
                </w:p>
              </w:tc>
              <w:tc>
                <w:tcPr>
                  <w:tcW w:w="1300" w:type="dxa"/>
                  <w:tcBorders>
                    <w:top w:val="double" w:sz="6" w:space="0" w:color="FF0000"/>
                    <w:left w:val="nil"/>
                    <w:bottom w:val="double" w:sz="6" w:space="0" w:color="FF0000"/>
                    <w:right w:val="double" w:sz="6" w:space="0" w:color="333333"/>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3 632 393</w:t>
                  </w:r>
                </w:p>
              </w:tc>
              <w:tc>
                <w:tcPr>
                  <w:tcW w:w="1660" w:type="dxa"/>
                  <w:tcBorders>
                    <w:top w:val="double" w:sz="6" w:space="0" w:color="FF0000"/>
                    <w:left w:val="nil"/>
                    <w:bottom w:val="double" w:sz="6" w:space="0" w:color="FF0000"/>
                    <w:right w:val="double" w:sz="6" w:space="0" w:color="FF0000"/>
                  </w:tcBorders>
                  <w:shd w:val="clear" w:color="000000" w:fill="538DD5"/>
                  <w:noWrap/>
                  <w:vAlign w:val="bottom"/>
                </w:tcPr>
                <w:p w:rsidR="00FF2163" w:rsidRPr="00FF2163" w:rsidRDefault="00FF2163" w:rsidP="00FF2163">
                  <w:pPr>
                    <w:spacing w:after="0" w:line="240" w:lineRule="auto"/>
                    <w:jc w:val="right"/>
                    <w:rPr>
                      <w:rFonts w:eastAsia="Times New Roman" w:cs="Calibri"/>
                      <w:b/>
                      <w:bCs/>
                      <w:lang w:eastAsia="pl-PL"/>
                    </w:rPr>
                  </w:pPr>
                  <w:r w:rsidRPr="00FF2163">
                    <w:rPr>
                      <w:rFonts w:eastAsia="Times New Roman" w:cs="Calibri"/>
                      <w:b/>
                      <w:bCs/>
                      <w:lang w:eastAsia="pl-PL"/>
                    </w:rPr>
                    <w:t>1 068 351</w:t>
                  </w:r>
                </w:p>
              </w:tc>
            </w:tr>
            <w:tr w:rsidR="00FF2163" w:rsidRPr="00FF2163" w:rsidTr="00BB5A64">
              <w:trPr>
                <w:trHeight w:val="330"/>
              </w:trPr>
              <w:tc>
                <w:tcPr>
                  <w:tcW w:w="1320" w:type="dxa"/>
                  <w:tcBorders>
                    <w:top w:val="nil"/>
                    <w:left w:val="double" w:sz="6" w:space="0" w:color="333333"/>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1-11</w:t>
                  </w:r>
                </w:p>
              </w:tc>
              <w:tc>
                <w:tcPr>
                  <w:tcW w:w="14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14 811 299</w:t>
                  </w:r>
                </w:p>
              </w:tc>
              <w:tc>
                <w:tcPr>
                  <w:tcW w:w="132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5 013 399</w:t>
                  </w:r>
                </w:p>
              </w:tc>
              <w:tc>
                <w:tcPr>
                  <w:tcW w:w="1604"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33,8%</w:t>
                  </w:r>
                </w:p>
              </w:tc>
              <w:tc>
                <w:tcPr>
                  <w:tcW w:w="130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14 050 097</w:t>
                  </w:r>
                </w:p>
              </w:tc>
              <w:tc>
                <w:tcPr>
                  <w:tcW w:w="1660" w:type="dxa"/>
                  <w:tcBorders>
                    <w:top w:val="nil"/>
                    <w:left w:val="nil"/>
                    <w:bottom w:val="double" w:sz="6" w:space="0" w:color="333333"/>
                    <w:right w:val="double" w:sz="6" w:space="0" w:color="333333"/>
                  </w:tcBorders>
                  <w:shd w:val="clear" w:color="000000" w:fill="B8CCE4"/>
                  <w:noWrap/>
                  <w:vAlign w:val="bottom"/>
                </w:tcPr>
                <w:p w:rsidR="00FF2163" w:rsidRPr="00FF2163" w:rsidRDefault="00FF2163" w:rsidP="00FF2163">
                  <w:pPr>
                    <w:spacing w:after="0" w:line="240" w:lineRule="auto"/>
                    <w:jc w:val="right"/>
                    <w:rPr>
                      <w:rFonts w:eastAsia="Times New Roman" w:cs="Calibri"/>
                      <w:lang w:eastAsia="pl-PL"/>
                    </w:rPr>
                  </w:pPr>
                  <w:r w:rsidRPr="00FF2163">
                    <w:rPr>
                      <w:rFonts w:eastAsia="Times New Roman" w:cs="Calibri"/>
                      <w:lang w:eastAsia="pl-PL"/>
                    </w:rPr>
                    <w:t>4 648 920</w:t>
                  </w:r>
                </w:p>
              </w:tc>
            </w:tr>
          </w:tbl>
          <w:p w:rsidR="00FF2163" w:rsidRPr="000142BF" w:rsidRDefault="00FF2163" w:rsidP="005C2DF8">
            <w:pPr>
              <w:autoSpaceDE w:val="0"/>
              <w:autoSpaceDN w:val="0"/>
              <w:adjustRightInd w:val="0"/>
              <w:spacing w:after="0" w:line="240" w:lineRule="auto"/>
              <w:jc w:val="both"/>
              <w:rPr>
                <w:rFonts w:cs="Calibri"/>
                <w:bCs/>
                <w:color w:val="000000"/>
                <w:sz w:val="20"/>
                <w:szCs w:val="20"/>
                <w:lang w:eastAsia="pl-PL"/>
              </w:rPr>
            </w:pPr>
          </w:p>
        </w:tc>
      </w:tr>
    </w:tbl>
    <w:p w:rsidR="00981B1C" w:rsidRDefault="00981B1C" w:rsidP="00981B1C">
      <w:pPr>
        <w:autoSpaceDE w:val="0"/>
        <w:autoSpaceDN w:val="0"/>
        <w:adjustRightInd w:val="0"/>
        <w:spacing w:after="0" w:line="240" w:lineRule="auto"/>
        <w:jc w:val="both"/>
        <w:rPr>
          <w:rFonts w:cs="Calibri"/>
          <w:bCs/>
          <w:color w:val="000000"/>
          <w:sz w:val="20"/>
          <w:szCs w:val="20"/>
          <w:lang w:eastAsia="pl-PL"/>
        </w:rPr>
        <w:sectPr w:rsidR="00981B1C" w:rsidSect="0043575D">
          <w:pgSz w:w="11906" w:h="16838" w:code="9"/>
          <w:pgMar w:top="1418" w:right="1418" w:bottom="1418" w:left="1418" w:header="709" w:footer="709" w:gutter="0"/>
          <w:cols w:space="708"/>
          <w:docGrid w:linePitch="360"/>
        </w:sectPr>
      </w:pPr>
    </w:p>
    <w:p w:rsidR="00981B1C" w:rsidRPr="000142BF" w:rsidRDefault="00981B1C" w:rsidP="00981B1C">
      <w:pPr>
        <w:autoSpaceDE w:val="0"/>
        <w:autoSpaceDN w:val="0"/>
        <w:adjustRightInd w:val="0"/>
        <w:spacing w:after="0" w:line="240" w:lineRule="auto"/>
        <w:jc w:val="both"/>
        <w:rPr>
          <w:rFonts w:cs="Calibri"/>
          <w:bCs/>
          <w:color w:val="000000"/>
          <w:sz w:val="20"/>
          <w:szCs w:val="20"/>
          <w:lang w:eastAsia="pl-PL"/>
        </w:rPr>
      </w:pPr>
    </w:p>
    <w:p w:rsidR="00981B1C" w:rsidRPr="000142BF" w:rsidRDefault="00981B1C" w:rsidP="00981B1C">
      <w:pPr>
        <w:autoSpaceDE w:val="0"/>
        <w:autoSpaceDN w:val="0"/>
        <w:adjustRightInd w:val="0"/>
        <w:spacing w:after="0" w:line="240" w:lineRule="auto"/>
        <w:jc w:val="both"/>
        <w:rPr>
          <w:rFonts w:cs="Calibri"/>
          <w:bCs/>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981B1C" w:rsidRPr="00CC3C1B" w:rsidTr="000C33B3">
        <w:tc>
          <w:tcPr>
            <w:tcW w:w="9212" w:type="dxa"/>
            <w:shd w:val="clear" w:color="auto" w:fill="auto"/>
          </w:tcPr>
          <w:p w:rsidR="00BF2494" w:rsidRDefault="00BF2494" w:rsidP="00981B1C">
            <w:pPr>
              <w:autoSpaceDE w:val="0"/>
              <w:autoSpaceDN w:val="0"/>
              <w:adjustRightInd w:val="0"/>
              <w:spacing w:after="0" w:line="240" w:lineRule="auto"/>
              <w:jc w:val="both"/>
              <w:rPr>
                <w:rFonts w:cs="Calibri"/>
                <w:b/>
                <w:bCs/>
                <w:color w:val="000000"/>
                <w:sz w:val="20"/>
                <w:szCs w:val="20"/>
                <w:lang w:eastAsia="pl-PL"/>
              </w:rPr>
            </w:pPr>
          </w:p>
          <w:p w:rsidR="00DE0F26" w:rsidRPr="005A36AC" w:rsidRDefault="00DE0F26" w:rsidP="00BB5A64">
            <w:pPr>
              <w:pStyle w:val="Legenda"/>
              <w:keepNext/>
            </w:pPr>
            <w:bookmarkStart w:id="15" w:name="_Toc401826763"/>
            <w:r w:rsidRPr="005A36AC">
              <w:t xml:space="preserve">Tabela </w:t>
            </w:r>
            <w:r w:rsidR="00050B55">
              <w:fldChar w:fldCharType="begin"/>
            </w:r>
            <w:r w:rsidR="00050B55">
              <w:instrText xml:space="preserve"> SEQ Tabela \* ARABIC </w:instrText>
            </w:r>
            <w:r w:rsidR="00050B55">
              <w:fldChar w:fldCharType="separate"/>
            </w:r>
            <w:r w:rsidR="002570DE">
              <w:rPr>
                <w:noProof/>
              </w:rPr>
              <w:t>10</w:t>
            </w:r>
            <w:r w:rsidR="00050B55">
              <w:rPr>
                <w:noProof/>
              </w:rPr>
              <w:fldChar w:fldCharType="end"/>
            </w:r>
            <w:r w:rsidRPr="005A36AC">
              <w:t xml:space="preserve"> - Nakłady niezbędne dla podłączenia do Internetu gospodarstw domowych w regionie słabiej rozwiniętym (w tys. PLN)</w:t>
            </w:r>
            <w:bookmarkEnd w:id="15"/>
          </w:p>
          <w:tbl>
            <w:tblPr>
              <w:tblW w:w="13956" w:type="dxa"/>
              <w:tblCellMar>
                <w:left w:w="70" w:type="dxa"/>
                <w:right w:w="70" w:type="dxa"/>
              </w:tblCellMar>
              <w:tblLook w:val="04A0" w:firstRow="1" w:lastRow="0" w:firstColumn="1" w:lastColumn="0" w:noHBand="0" w:noVBand="1"/>
            </w:tblPr>
            <w:tblGrid>
              <w:gridCol w:w="991"/>
              <w:gridCol w:w="1100"/>
              <w:gridCol w:w="1124"/>
              <w:gridCol w:w="1355"/>
              <w:gridCol w:w="1162"/>
              <w:gridCol w:w="1243"/>
              <w:gridCol w:w="1230"/>
              <w:gridCol w:w="1014"/>
              <w:gridCol w:w="1110"/>
              <w:gridCol w:w="1405"/>
              <w:gridCol w:w="1017"/>
              <w:gridCol w:w="1205"/>
            </w:tblGrid>
            <w:tr w:rsidR="00233879" w:rsidRPr="00233879" w:rsidTr="00AD4CA2">
              <w:trPr>
                <w:trHeight w:val="330"/>
              </w:trPr>
              <w:tc>
                <w:tcPr>
                  <w:tcW w:w="998" w:type="dxa"/>
                  <w:tcBorders>
                    <w:top w:val="double" w:sz="6" w:space="0" w:color="3F3F3F"/>
                    <w:left w:val="double" w:sz="6" w:space="0" w:color="3F3F3F"/>
                    <w:bottom w:val="double" w:sz="6" w:space="0" w:color="3F3F3F"/>
                    <w:right w:val="nil"/>
                  </w:tcBorders>
                  <w:shd w:val="clear" w:color="auto" w:fill="auto"/>
                  <w:noWrap/>
                  <w:vAlign w:val="bottom"/>
                </w:tcPr>
                <w:p w:rsidR="00233879" w:rsidRPr="00233879" w:rsidRDefault="00233879" w:rsidP="00233879">
                  <w:pPr>
                    <w:spacing w:after="0" w:line="240" w:lineRule="auto"/>
                    <w:jc w:val="center"/>
                    <w:rPr>
                      <w:rFonts w:eastAsia="Times New Roman" w:cs="Calibri"/>
                      <w:b/>
                      <w:bCs/>
                      <w:color w:val="FFFFFF"/>
                      <w:sz w:val="20"/>
                      <w:szCs w:val="20"/>
                      <w:lang w:eastAsia="pl-PL"/>
                    </w:rPr>
                  </w:pPr>
                  <w:r w:rsidRPr="00233879">
                    <w:rPr>
                      <w:rFonts w:eastAsia="Times New Roman" w:cs="Calibri"/>
                      <w:b/>
                      <w:bCs/>
                      <w:color w:val="FFFFFF"/>
                      <w:sz w:val="20"/>
                      <w:szCs w:val="20"/>
                      <w:lang w:eastAsia="pl-PL"/>
                    </w:rPr>
                    <w:t> </w:t>
                  </w:r>
                </w:p>
              </w:tc>
              <w:tc>
                <w:tcPr>
                  <w:tcW w:w="6024" w:type="dxa"/>
                  <w:gridSpan w:val="5"/>
                  <w:tcBorders>
                    <w:top w:val="double" w:sz="6" w:space="0" w:color="3F3F3F"/>
                    <w:left w:val="nil"/>
                    <w:bottom w:val="double" w:sz="6" w:space="0" w:color="3F3F3F"/>
                    <w:right w:val="double" w:sz="6" w:space="0" w:color="3F3F3F"/>
                  </w:tcBorders>
                  <w:shd w:val="clear" w:color="auto" w:fill="auto"/>
                  <w:noWrap/>
                  <w:vAlign w:val="bottom"/>
                </w:tcPr>
                <w:p w:rsidR="00233879" w:rsidRPr="00233879" w:rsidRDefault="00233879" w:rsidP="00233879">
                  <w:pPr>
                    <w:spacing w:after="0" w:line="240" w:lineRule="auto"/>
                    <w:jc w:val="center"/>
                    <w:rPr>
                      <w:rFonts w:eastAsia="Times New Roman" w:cs="Calibri"/>
                      <w:color w:val="000000"/>
                      <w:sz w:val="20"/>
                      <w:szCs w:val="20"/>
                      <w:lang w:eastAsia="pl-PL"/>
                    </w:rPr>
                  </w:pPr>
                  <w:r w:rsidRPr="00233879">
                    <w:rPr>
                      <w:rFonts w:eastAsia="Times New Roman" w:cs="Calibri"/>
                      <w:color w:val="000000"/>
                      <w:sz w:val="20"/>
                      <w:szCs w:val="20"/>
                      <w:lang w:eastAsia="pl-PL"/>
                    </w:rPr>
                    <w:t>Podłączenia dzięki nakładom z POPC</w:t>
                  </w:r>
                </w:p>
              </w:tc>
              <w:tc>
                <w:tcPr>
                  <w:tcW w:w="6934" w:type="dxa"/>
                  <w:gridSpan w:val="6"/>
                  <w:tcBorders>
                    <w:top w:val="double" w:sz="6" w:space="0" w:color="3F3F3F"/>
                    <w:left w:val="nil"/>
                    <w:bottom w:val="double" w:sz="6" w:space="0" w:color="3F3F3F"/>
                    <w:right w:val="double" w:sz="6" w:space="0" w:color="3F3F3F"/>
                  </w:tcBorders>
                  <w:shd w:val="clear" w:color="auto" w:fill="auto"/>
                  <w:noWrap/>
                  <w:vAlign w:val="bottom"/>
                </w:tcPr>
                <w:p w:rsidR="00233879" w:rsidRPr="00233879" w:rsidRDefault="00233879" w:rsidP="00233879">
                  <w:pPr>
                    <w:spacing w:after="0" w:line="240" w:lineRule="auto"/>
                    <w:jc w:val="center"/>
                    <w:rPr>
                      <w:rFonts w:eastAsia="Times New Roman" w:cs="Calibri"/>
                      <w:color w:val="000000"/>
                      <w:sz w:val="20"/>
                      <w:szCs w:val="20"/>
                      <w:lang w:eastAsia="pl-PL"/>
                    </w:rPr>
                  </w:pPr>
                  <w:r w:rsidRPr="00233879">
                    <w:rPr>
                      <w:rFonts w:eastAsia="Times New Roman" w:cs="Calibri"/>
                      <w:color w:val="000000"/>
                      <w:sz w:val="20"/>
                      <w:szCs w:val="20"/>
                      <w:lang w:eastAsia="pl-PL"/>
                    </w:rPr>
                    <w:t xml:space="preserve">w tym podłączenia szerokopasmowym dostępem do sieci o przepustowości ≥30 </w:t>
                  </w:r>
                  <w:proofErr w:type="spellStart"/>
                  <w:r w:rsidRPr="00233879">
                    <w:rPr>
                      <w:rFonts w:eastAsia="Times New Roman" w:cs="Calibri"/>
                      <w:color w:val="000000"/>
                      <w:sz w:val="20"/>
                      <w:szCs w:val="20"/>
                      <w:lang w:eastAsia="pl-PL"/>
                    </w:rPr>
                    <w:t>Mb</w:t>
                  </w:r>
                  <w:proofErr w:type="spellEnd"/>
                  <w:r w:rsidRPr="00233879">
                    <w:rPr>
                      <w:rFonts w:eastAsia="Times New Roman" w:cs="Calibri"/>
                      <w:color w:val="000000"/>
                      <w:sz w:val="20"/>
                      <w:szCs w:val="20"/>
                      <w:lang w:eastAsia="pl-PL"/>
                    </w:rPr>
                    <w:t>/s</w:t>
                  </w:r>
                </w:p>
              </w:tc>
            </w:tr>
            <w:tr w:rsidR="00870CF9" w:rsidRPr="00233879" w:rsidTr="00AD4CA2">
              <w:trPr>
                <w:trHeight w:val="2730"/>
              </w:trPr>
              <w:tc>
                <w:tcPr>
                  <w:tcW w:w="998" w:type="dxa"/>
                  <w:tcBorders>
                    <w:top w:val="nil"/>
                    <w:left w:val="double" w:sz="6" w:space="0" w:color="3F3F3F"/>
                    <w:bottom w:val="double" w:sz="6" w:space="0" w:color="3F3F3F"/>
                    <w:right w:val="double" w:sz="6" w:space="0" w:color="3F3F3F"/>
                  </w:tcBorders>
                  <w:shd w:val="clear" w:color="000000" w:fill="95B3D7"/>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Kategoria gminy</w:t>
                  </w:r>
                </w:p>
              </w:tc>
              <w:tc>
                <w:tcPr>
                  <w:tcW w:w="1107" w:type="dxa"/>
                  <w:tcBorders>
                    <w:top w:val="nil"/>
                    <w:left w:val="nil"/>
                    <w:bottom w:val="double" w:sz="6" w:space="0" w:color="3F3F3F"/>
                    <w:right w:val="double" w:sz="6" w:space="0" w:color="3F3F3F"/>
                  </w:tcBorders>
                  <w:shd w:val="clear" w:color="000000" w:fill="538DD5"/>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Nakłady łącznie na gosp. z POPC</w:t>
                  </w:r>
                </w:p>
              </w:tc>
              <w:tc>
                <w:tcPr>
                  <w:tcW w:w="1132" w:type="dxa"/>
                  <w:tcBorders>
                    <w:top w:val="nil"/>
                    <w:left w:val="nil"/>
                    <w:bottom w:val="double" w:sz="6" w:space="0" w:color="3F3F3F"/>
                    <w:right w:val="double" w:sz="6" w:space="0" w:color="3F3F3F"/>
                  </w:tcBorders>
                  <w:shd w:val="clear" w:color="000000" w:fill="538DD5"/>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Dopłata ze środków publicznych na gosp. z POPC</w:t>
                  </w:r>
                </w:p>
              </w:tc>
              <w:tc>
                <w:tcPr>
                  <w:tcW w:w="1364" w:type="dxa"/>
                  <w:tcBorders>
                    <w:top w:val="nil"/>
                    <w:left w:val="nil"/>
                    <w:bottom w:val="double" w:sz="6" w:space="0" w:color="3F3F3F"/>
                    <w:right w:val="double" w:sz="6" w:space="0" w:color="3F3F3F"/>
                  </w:tcBorders>
                  <w:shd w:val="clear" w:color="000000" w:fill="538DD5"/>
                  <w:vAlign w:val="bottom"/>
                </w:tcPr>
                <w:p w:rsidR="00233879" w:rsidRPr="00597BF5" w:rsidRDefault="00233879" w:rsidP="00233879">
                  <w:pPr>
                    <w:spacing w:after="0" w:line="240" w:lineRule="auto"/>
                    <w:jc w:val="center"/>
                    <w:rPr>
                      <w:rFonts w:eastAsia="Times New Roman" w:cs="Calibri"/>
                      <w:b/>
                      <w:bCs/>
                      <w:sz w:val="20"/>
                      <w:szCs w:val="20"/>
                      <w:lang w:eastAsia="pl-PL"/>
                    </w:rPr>
                  </w:pPr>
                  <w:r w:rsidRPr="00597BF5">
                    <w:rPr>
                      <w:rFonts w:eastAsia="Times New Roman" w:cs="Calibri"/>
                      <w:b/>
                      <w:bCs/>
                      <w:sz w:val="20"/>
                      <w:szCs w:val="20"/>
                      <w:lang w:eastAsia="pl-PL"/>
                    </w:rPr>
                    <w:t xml:space="preserve">Poziom </w:t>
                  </w:r>
                  <w:r w:rsidRPr="00597BF5">
                    <w:rPr>
                      <w:rFonts w:eastAsia="Times New Roman" w:cs="Calibri"/>
                      <w:b/>
                      <w:bCs/>
                      <w:spacing w:val="-6"/>
                      <w:sz w:val="19"/>
                      <w:szCs w:val="19"/>
                      <w:lang w:eastAsia="pl-PL"/>
                    </w:rPr>
                    <w:t>dofinansowania</w:t>
                  </w:r>
                </w:p>
              </w:tc>
              <w:tc>
                <w:tcPr>
                  <w:tcW w:w="1170" w:type="dxa"/>
                  <w:tcBorders>
                    <w:top w:val="nil"/>
                    <w:left w:val="nil"/>
                    <w:bottom w:val="double" w:sz="6" w:space="0" w:color="3F3F3F"/>
                    <w:right w:val="double" w:sz="6" w:space="0" w:color="3F3F3F"/>
                  </w:tcBorders>
                  <w:shd w:val="clear" w:color="000000" w:fill="538DD5"/>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Liczba ludności do objęcia nową inwestycją w gminie z POPC </w:t>
                  </w:r>
                </w:p>
              </w:tc>
              <w:tc>
                <w:tcPr>
                  <w:tcW w:w="1251" w:type="dxa"/>
                  <w:tcBorders>
                    <w:top w:val="nil"/>
                    <w:left w:val="nil"/>
                    <w:bottom w:val="double" w:sz="6" w:space="0" w:color="3F3F3F"/>
                    <w:right w:val="double" w:sz="6" w:space="0" w:color="3F3F3F"/>
                  </w:tcBorders>
                  <w:shd w:val="clear" w:color="000000" w:fill="538DD5"/>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Liczba gospodarstw domowych do objęcia nową inwestycją w gminie z POPC </w:t>
                  </w:r>
                </w:p>
              </w:tc>
              <w:tc>
                <w:tcPr>
                  <w:tcW w:w="1238" w:type="dxa"/>
                  <w:tcBorders>
                    <w:top w:val="nil"/>
                    <w:left w:val="nil"/>
                    <w:bottom w:val="double" w:sz="6" w:space="0" w:color="3F3F3F"/>
                    <w:right w:val="double" w:sz="6" w:space="0" w:color="3F3F3F"/>
                  </w:tcBorders>
                  <w:shd w:val="clear" w:color="000000" w:fill="95B3D7"/>
                  <w:vAlign w:val="bottom"/>
                </w:tcPr>
                <w:p w:rsidR="00233879" w:rsidRPr="00233879" w:rsidRDefault="00233879" w:rsidP="0096581D">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Założenie:</w:t>
                  </w:r>
                  <w:r w:rsidRPr="00597BF5">
                    <w:rPr>
                      <w:rFonts w:eastAsia="Times New Roman" w:cs="Calibri"/>
                      <w:b/>
                      <w:bCs/>
                      <w:color w:val="FF0000"/>
                      <w:sz w:val="20"/>
                      <w:szCs w:val="20"/>
                      <w:lang w:eastAsia="pl-PL"/>
                    </w:rPr>
                    <w:br/>
                  </w:r>
                  <w:r w:rsidRPr="00233879">
                    <w:rPr>
                      <w:rFonts w:eastAsia="Times New Roman" w:cs="Calibri"/>
                      <w:b/>
                      <w:bCs/>
                      <w:sz w:val="20"/>
                      <w:szCs w:val="20"/>
                      <w:lang w:eastAsia="pl-PL"/>
                    </w:rPr>
                    <w:t xml:space="preserve">Udział gospodarstw do objęcia ≥30 </w:t>
                  </w:r>
                  <w:proofErr w:type="spellStart"/>
                  <w:r w:rsidRPr="00233879">
                    <w:rPr>
                      <w:rFonts w:eastAsia="Times New Roman" w:cs="Calibri"/>
                      <w:b/>
                      <w:bCs/>
                      <w:sz w:val="20"/>
                      <w:szCs w:val="20"/>
                      <w:lang w:eastAsia="pl-PL"/>
                    </w:rPr>
                    <w:t>Mb</w:t>
                  </w:r>
                  <w:proofErr w:type="spellEnd"/>
                  <w:r w:rsidRPr="00233879">
                    <w:rPr>
                      <w:rFonts w:eastAsia="Times New Roman" w:cs="Calibri"/>
                      <w:b/>
                      <w:bCs/>
                      <w:sz w:val="20"/>
                      <w:szCs w:val="20"/>
                      <w:lang w:eastAsia="pl-PL"/>
                    </w:rPr>
                    <w:t>/s</w:t>
                  </w:r>
                </w:p>
              </w:tc>
              <w:tc>
                <w:tcPr>
                  <w:tcW w:w="1021" w:type="dxa"/>
                  <w:tcBorders>
                    <w:top w:val="nil"/>
                    <w:left w:val="nil"/>
                    <w:bottom w:val="double" w:sz="6" w:space="0" w:color="3F3F3F"/>
                    <w:right w:val="double" w:sz="6" w:space="0" w:color="3F3F3F"/>
                  </w:tcBorders>
                  <w:shd w:val="clear" w:color="000000" w:fill="95B3D7"/>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Nakłady łącznie na gosp. ≥30 </w:t>
                  </w:r>
                  <w:proofErr w:type="spellStart"/>
                  <w:r w:rsidRPr="00233879">
                    <w:rPr>
                      <w:rFonts w:eastAsia="Times New Roman" w:cs="Calibri"/>
                      <w:b/>
                      <w:bCs/>
                      <w:sz w:val="20"/>
                      <w:szCs w:val="20"/>
                      <w:lang w:eastAsia="pl-PL"/>
                    </w:rPr>
                    <w:t>Mb</w:t>
                  </w:r>
                  <w:proofErr w:type="spellEnd"/>
                  <w:r w:rsidRPr="00233879">
                    <w:rPr>
                      <w:rFonts w:eastAsia="Times New Roman" w:cs="Calibri"/>
                      <w:b/>
                      <w:bCs/>
                      <w:sz w:val="20"/>
                      <w:szCs w:val="20"/>
                      <w:lang w:eastAsia="pl-PL"/>
                    </w:rPr>
                    <w:t>/s</w:t>
                  </w:r>
                </w:p>
              </w:tc>
              <w:tc>
                <w:tcPr>
                  <w:tcW w:w="1076" w:type="dxa"/>
                  <w:tcBorders>
                    <w:top w:val="nil"/>
                    <w:left w:val="nil"/>
                    <w:bottom w:val="double" w:sz="6" w:space="0" w:color="3F3F3F"/>
                    <w:right w:val="double" w:sz="6" w:space="0" w:color="3F3F3F"/>
                  </w:tcBorders>
                  <w:shd w:val="clear" w:color="000000" w:fill="95B3D7"/>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Dopłata ze środków publicznych na gosp. ≥30 </w:t>
                  </w:r>
                  <w:proofErr w:type="spellStart"/>
                  <w:r w:rsidRPr="00233879">
                    <w:rPr>
                      <w:rFonts w:eastAsia="Times New Roman" w:cs="Calibri"/>
                      <w:b/>
                      <w:bCs/>
                      <w:sz w:val="20"/>
                      <w:szCs w:val="20"/>
                      <w:lang w:eastAsia="pl-PL"/>
                    </w:rPr>
                    <w:t>Mb</w:t>
                  </w:r>
                  <w:proofErr w:type="spellEnd"/>
                  <w:r w:rsidRPr="00233879">
                    <w:rPr>
                      <w:rFonts w:eastAsia="Times New Roman" w:cs="Calibri"/>
                      <w:b/>
                      <w:bCs/>
                      <w:sz w:val="20"/>
                      <w:szCs w:val="20"/>
                      <w:lang w:eastAsia="pl-PL"/>
                    </w:rPr>
                    <w:t>/s</w:t>
                  </w:r>
                </w:p>
              </w:tc>
              <w:tc>
                <w:tcPr>
                  <w:tcW w:w="1415" w:type="dxa"/>
                  <w:tcBorders>
                    <w:top w:val="nil"/>
                    <w:left w:val="nil"/>
                    <w:bottom w:val="double" w:sz="6" w:space="0" w:color="3F3F3F"/>
                    <w:right w:val="double" w:sz="6" w:space="0" w:color="3F3F3F"/>
                  </w:tcBorders>
                  <w:shd w:val="clear" w:color="000000" w:fill="95B3D7"/>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Poziom </w:t>
                  </w:r>
                  <w:r w:rsidRPr="00597BF5">
                    <w:rPr>
                      <w:rFonts w:eastAsia="Times New Roman" w:cs="Calibri"/>
                      <w:b/>
                      <w:bCs/>
                      <w:spacing w:val="-6"/>
                      <w:sz w:val="19"/>
                      <w:szCs w:val="19"/>
                      <w:lang w:eastAsia="pl-PL"/>
                    </w:rPr>
                    <w:t>dofinansowania</w:t>
                  </w:r>
                </w:p>
              </w:tc>
              <w:tc>
                <w:tcPr>
                  <w:tcW w:w="1016" w:type="dxa"/>
                  <w:tcBorders>
                    <w:top w:val="nil"/>
                    <w:left w:val="nil"/>
                    <w:bottom w:val="double" w:sz="6" w:space="0" w:color="3F3F3F"/>
                    <w:right w:val="double" w:sz="6" w:space="0" w:color="3F3F3F"/>
                  </w:tcBorders>
                  <w:shd w:val="clear" w:color="000000" w:fill="95B3D7"/>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Liczba ludności do objęcia nową inwestycją ≥30 </w:t>
                  </w:r>
                  <w:proofErr w:type="spellStart"/>
                  <w:r w:rsidRPr="00233879">
                    <w:rPr>
                      <w:rFonts w:eastAsia="Times New Roman" w:cs="Calibri"/>
                      <w:b/>
                      <w:bCs/>
                      <w:sz w:val="20"/>
                      <w:szCs w:val="20"/>
                      <w:lang w:eastAsia="pl-PL"/>
                    </w:rPr>
                    <w:t>Mb</w:t>
                  </w:r>
                  <w:proofErr w:type="spellEnd"/>
                  <w:r w:rsidRPr="00233879">
                    <w:rPr>
                      <w:rFonts w:eastAsia="Times New Roman" w:cs="Calibri"/>
                      <w:b/>
                      <w:bCs/>
                      <w:sz w:val="20"/>
                      <w:szCs w:val="20"/>
                      <w:lang w:eastAsia="pl-PL"/>
                    </w:rPr>
                    <w:t>/s w gminie</w:t>
                  </w:r>
                </w:p>
              </w:tc>
              <w:tc>
                <w:tcPr>
                  <w:tcW w:w="1168" w:type="dxa"/>
                  <w:tcBorders>
                    <w:top w:val="nil"/>
                    <w:left w:val="nil"/>
                    <w:bottom w:val="double" w:sz="6" w:space="0" w:color="3F3F3F"/>
                    <w:right w:val="double" w:sz="6" w:space="0" w:color="3F3F3F"/>
                  </w:tcBorders>
                  <w:shd w:val="clear" w:color="000000" w:fill="95B3D7"/>
                  <w:vAlign w:val="bottom"/>
                </w:tcPr>
                <w:p w:rsidR="00233879" w:rsidRPr="00233879" w:rsidRDefault="00233879" w:rsidP="00233879">
                  <w:pPr>
                    <w:spacing w:after="0" w:line="240" w:lineRule="auto"/>
                    <w:jc w:val="center"/>
                    <w:rPr>
                      <w:rFonts w:eastAsia="Times New Roman" w:cs="Calibri"/>
                      <w:b/>
                      <w:bCs/>
                      <w:sz w:val="20"/>
                      <w:szCs w:val="20"/>
                      <w:lang w:eastAsia="pl-PL"/>
                    </w:rPr>
                  </w:pPr>
                  <w:r w:rsidRPr="00233879">
                    <w:rPr>
                      <w:rFonts w:eastAsia="Times New Roman" w:cs="Calibri"/>
                      <w:b/>
                      <w:bCs/>
                      <w:sz w:val="20"/>
                      <w:szCs w:val="20"/>
                      <w:lang w:eastAsia="pl-PL"/>
                    </w:rPr>
                    <w:t xml:space="preserve">Liczba gospodarstw domowych do objęcia nową inwestycją ≥30 </w:t>
                  </w:r>
                  <w:proofErr w:type="spellStart"/>
                  <w:r w:rsidRPr="00233879">
                    <w:rPr>
                      <w:rFonts w:eastAsia="Times New Roman" w:cs="Calibri"/>
                      <w:b/>
                      <w:bCs/>
                      <w:sz w:val="20"/>
                      <w:szCs w:val="20"/>
                      <w:lang w:eastAsia="pl-PL"/>
                    </w:rPr>
                    <w:t>Mb</w:t>
                  </w:r>
                  <w:proofErr w:type="spellEnd"/>
                  <w:r w:rsidRPr="00233879">
                    <w:rPr>
                      <w:rFonts w:eastAsia="Times New Roman" w:cs="Calibri"/>
                      <w:b/>
                      <w:bCs/>
                      <w:sz w:val="20"/>
                      <w:szCs w:val="20"/>
                      <w:lang w:eastAsia="pl-PL"/>
                    </w:rPr>
                    <w:t>/s w gminie</w:t>
                  </w:r>
                </w:p>
              </w:tc>
            </w:tr>
            <w:tr w:rsidR="00870CF9" w:rsidRPr="00233879" w:rsidTr="00AD4CA2">
              <w:trPr>
                <w:trHeight w:val="330"/>
              </w:trPr>
              <w:tc>
                <w:tcPr>
                  <w:tcW w:w="998" w:type="dxa"/>
                  <w:tcBorders>
                    <w:top w:val="double" w:sz="6" w:space="0" w:color="FF0000"/>
                    <w:left w:val="double" w:sz="6" w:space="0" w:color="FF0000"/>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6</w:t>
                  </w:r>
                </w:p>
              </w:tc>
              <w:tc>
                <w:tcPr>
                  <w:tcW w:w="1107" w:type="dxa"/>
                  <w:tcBorders>
                    <w:top w:val="double" w:sz="6" w:space="0" w:color="FF0000"/>
                    <w:left w:val="double" w:sz="6" w:space="0" w:color="FF0000"/>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1 222 268</w:t>
                  </w:r>
                </w:p>
              </w:tc>
              <w:tc>
                <w:tcPr>
                  <w:tcW w:w="1132" w:type="dxa"/>
                  <w:tcBorders>
                    <w:top w:val="double" w:sz="6" w:space="0" w:color="FF0000"/>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481 965</w:t>
                  </w:r>
                </w:p>
              </w:tc>
              <w:tc>
                <w:tcPr>
                  <w:tcW w:w="1364" w:type="dxa"/>
                  <w:tcBorders>
                    <w:top w:val="double" w:sz="6" w:space="0" w:color="FF0000"/>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39,4%</w:t>
                  </w:r>
                </w:p>
              </w:tc>
              <w:tc>
                <w:tcPr>
                  <w:tcW w:w="1170" w:type="dxa"/>
                  <w:tcBorders>
                    <w:top w:val="double" w:sz="6" w:space="0" w:color="FF0000"/>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739 433</w:t>
                  </w:r>
                </w:p>
              </w:tc>
              <w:tc>
                <w:tcPr>
                  <w:tcW w:w="1251" w:type="dxa"/>
                  <w:tcBorders>
                    <w:top w:val="double" w:sz="6" w:space="0" w:color="FF0000"/>
                    <w:left w:val="nil"/>
                    <w:bottom w:val="double" w:sz="6" w:space="0" w:color="333333"/>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217 480</w:t>
                  </w:r>
                </w:p>
              </w:tc>
              <w:tc>
                <w:tcPr>
                  <w:tcW w:w="1238" w:type="dxa"/>
                  <w:tcBorders>
                    <w:top w:val="double" w:sz="6" w:space="0" w:color="FF0000"/>
                    <w:left w:val="nil"/>
                    <w:bottom w:val="double" w:sz="6" w:space="0" w:color="333333"/>
                    <w:right w:val="nil"/>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100,0%</w:t>
                  </w:r>
                </w:p>
              </w:tc>
              <w:tc>
                <w:tcPr>
                  <w:tcW w:w="1021" w:type="dxa"/>
                  <w:tcBorders>
                    <w:top w:val="double" w:sz="6" w:space="0" w:color="FF0000"/>
                    <w:left w:val="double" w:sz="6" w:space="0" w:color="auto"/>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1 222 268</w:t>
                  </w:r>
                </w:p>
              </w:tc>
              <w:tc>
                <w:tcPr>
                  <w:tcW w:w="1076" w:type="dxa"/>
                  <w:tcBorders>
                    <w:top w:val="double" w:sz="6" w:space="0" w:color="FF0000"/>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481 965</w:t>
                  </w:r>
                </w:p>
              </w:tc>
              <w:tc>
                <w:tcPr>
                  <w:tcW w:w="1415" w:type="dxa"/>
                  <w:tcBorders>
                    <w:top w:val="double" w:sz="6" w:space="0" w:color="FF0000"/>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39,4%</w:t>
                  </w:r>
                </w:p>
              </w:tc>
              <w:tc>
                <w:tcPr>
                  <w:tcW w:w="1016" w:type="dxa"/>
                  <w:tcBorders>
                    <w:top w:val="double" w:sz="6" w:space="0" w:color="FF0000"/>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739 433</w:t>
                  </w:r>
                </w:p>
              </w:tc>
              <w:tc>
                <w:tcPr>
                  <w:tcW w:w="1168" w:type="dxa"/>
                  <w:tcBorders>
                    <w:top w:val="double" w:sz="6" w:space="0" w:color="FF0000"/>
                    <w:left w:val="nil"/>
                    <w:bottom w:val="double" w:sz="6" w:space="0" w:color="333333"/>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217 480</w:t>
                  </w:r>
                </w:p>
              </w:tc>
            </w:tr>
            <w:tr w:rsidR="00870CF9" w:rsidRPr="00233879" w:rsidTr="00AD4CA2">
              <w:trPr>
                <w:trHeight w:val="330"/>
              </w:trPr>
              <w:tc>
                <w:tcPr>
                  <w:tcW w:w="998" w:type="dxa"/>
                  <w:tcBorders>
                    <w:top w:val="nil"/>
                    <w:left w:val="double" w:sz="6" w:space="0" w:color="FF0000"/>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7</w:t>
                  </w:r>
                </w:p>
              </w:tc>
              <w:tc>
                <w:tcPr>
                  <w:tcW w:w="1107" w:type="dxa"/>
                  <w:tcBorders>
                    <w:top w:val="nil"/>
                    <w:left w:val="double" w:sz="6" w:space="0" w:color="FF0000"/>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1 166 748</w:t>
                  </w:r>
                </w:p>
              </w:tc>
              <w:tc>
                <w:tcPr>
                  <w:tcW w:w="1132"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572 239</w:t>
                  </w:r>
                </w:p>
              </w:tc>
              <w:tc>
                <w:tcPr>
                  <w:tcW w:w="1364"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49,0%</w:t>
                  </w:r>
                </w:p>
              </w:tc>
              <w:tc>
                <w:tcPr>
                  <w:tcW w:w="1170"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605 815</w:t>
                  </w:r>
                </w:p>
              </w:tc>
              <w:tc>
                <w:tcPr>
                  <w:tcW w:w="1251" w:type="dxa"/>
                  <w:tcBorders>
                    <w:top w:val="nil"/>
                    <w:left w:val="nil"/>
                    <w:bottom w:val="double" w:sz="6" w:space="0" w:color="333333"/>
                    <w:right w:val="double" w:sz="6" w:space="0" w:color="FF0000"/>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178 181</w:t>
                  </w:r>
                </w:p>
              </w:tc>
              <w:tc>
                <w:tcPr>
                  <w:tcW w:w="1238" w:type="dxa"/>
                  <w:tcBorders>
                    <w:top w:val="nil"/>
                    <w:left w:val="nil"/>
                    <w:bottom w:val="double" w:sz="6" w:space="0" w:color="333333"/>
                    <w:right w:val="nil"/>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95,0%</w:t>
                  </w:r>
                </w:p>
              </w:tc>
              <w:tc>
                <w:tcPr>
                  <w:tcW w:w="1021" w:type="dxa"/>
                  <w:tcBorders>
                    <w:top w:val="nil"/>
                    <w:left w:val="double" w:sz="6" w:space="0" w:color="auto"/>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1 108 410</w:t>
                  </w:r>
                </w:p>
              </w:tc>
              <w:tc>
                <w:tcPr>
                  <w:tcW w:w="1076"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543 627</w:t>
                  </w:r>
                </w:p>
              </w:tc>
              <w:tc>
                <w:tcPr>
                  <w:tcW w:w="1415"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49,0%</w:t>
                  </w:r>
                </w:p>
              </w:tc>
              <w:tc>
                <w:tcPr>
                  <w:tcW w:w="1016"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575 525</w:t>
                  </w:r>
                </w:p>
              </w:tc>
              <w:tc>
                <w:tcPr>
                  <w:tcW w:w="1168" w:type="dxa"/>
                  <w:tcBorders>
                    <w:top w:val="nil"/>
                    <w:left w:val="nil"/>
                    <w:bottom w:val="double" w:sz="6" w:space="0" w:color="333333"/>
                    <w:right w:val="double" w:sz="6" w:space="0" w:color="FF0000"/>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169 272</w:t>
                  </w:r>
                </w:p>
              </w:tc>
            </w:tr>
            <w:tr w:rsidR="00870CF9" w:rsidRPr="00233879" w:rsidTr="00AD4CA2">
              <w:trPr>
                <w:trHeight w:val="330"/>
              </w:trPr>
              <w:tc>
                <w:tcPr>
                  <w:tcW w:w="998" w:type="dxa"/>
                  <w:tcBorders>
                    <w:top w:val="nil"/>
                    <w:left w:val="double" w:sz="6" w:space="0" w:color="FF0000"/>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8</w:t>
                  </w:r>
                </w:p>
              </w:tc>
              <w:tc>
                <w:tcPr>
                  <w:tcW w:w="1107" w:type="dxa"/>
                  <w:tcBorders>
                    <w:top w:val="nil"/>
                    <w:left w:val="double" w:sz="6" w:space="0" w:color="FF0000"/>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893 513</w:t>
                  </w:r>
                </w:p>
              </w:tc>
              <w:tc>
                <w:tcPr>
                  <w:tcW w:w="1132"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498 049</w:t>
                  </w:r>
                </w:p>
              </w:tc>
              <w:tc>
                <w:tcPr>
                  <w:tcW w:w="1364"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55,7%</w:t>
                  </w:r>
                </w:p>
              </w:tc>
              <w:tc>
                <w:tcPr>
                  <w:tcW w:w="1170"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397 596</w:t>
                  </w:r>
                </w:p>
              </w:tc>
              <w:tc>
                <w:tcPr>
                  <w:tcW w:w="1251" w:type="dxa"/>
                  <w:tcBorders>
                    <w:top w:val="nil"/>
                    <w:left w:val="nil"/>
                    <w:bottom w:val="double" w:sz="6" w:space="0" w:color="333333"/>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116 940</w:t>
                  </w:r>
                </w:p>
              </w:tc>
              <w:tc>
                <w:tcPr>
                  <w:tcW w:w="1238" w:type="dxa"/>
                  <w:tcBorders>
                    <w:top w:val="nil"/>
                    <w:left w:val="nil"/>
                    <w:bottom w:val="double" w:sz="6" w:space="0" w:color="333333"/>
                    <w:right w:val="nil"/>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90,0%</w:t>
                  </w:r>
                </w:p>
              </w:tc>
              <w:tc>
                <w:tcPr>
                  <w:tcW w:w="1021" w:type="dxa"/>
                  <w:tcBorders>
                    <w:top w:val="nil"/>
                    <w:left w:val="double" w:sz="6" w:space="0" w:color="auto"/>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804 162</w:t>
                  </w:r>
                </w:p>
              </w:tc>
              <w:tc>
                <w:tcPr>
                  <w:tcW w:w="1076"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448 244</w:t>
                  </w:r>
                </w:p>
              </w:tc>
              <w:tc>
                <w:tcPr>
                  <w:tcW w:w="1415"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55,7%</w:t>
                  </w:r>
                </w:p>
              </w:tc>
              <w:tc>
                <w:tcPr>
                  <w:tcW w:w="1016"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357 836</w:t>
                  </w:r>
                </w:p>
              </w:tc>
              <w:tc>
                <w:tcPr>
                  <w:tcW w:w="1168" w:type="dxa"/>
                  <w:tcBorders>
                    <w:top w:val="nil"/>
                    <w:left w:val="nil"/>
                    <w:bottom w:val="double" w:sz="6" w:space="0" w:color="333333"/>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105 246</w:t>
                  </w:r>
                </w:p>
              </w:tc>
            </w:tr>
            <w:tr w:rsidR="00870CF9" w:rsidRPr="00233879" w:rsidTr="00AD4CA2">
              <w:trPr>
                <w:trHeight w:val="330"/>
              </w:trPr>
              <w:tc>
                <w:tcPr>
                  <w:tcW w:w="998" w:type="dxa"/>
                  <w:tcBorders>
                    <w:top w:val="nil"/>
                    <w:left w:val="double" w:sz="6" w:space="0" w:color="FF0000"/>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9</w:t>
                  </w:r>
                </w:p>
              </w:tc>
              <w:tc>
                <w:tcPr>
                  <w:tcW w:w="1107" w:type="dxa"/>
                  <w:tcBorders>
                    <w:top w:val="nil"/>
                    <w:left w:val="double" w:sz="6" w:space="0" w:color="FF0000"/>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673 952</w:t>
                  </w:r>
                </w:p>
              </w:tc>
              <w:tc>
                <w:tcPr>
                  <w:tcW w:w="1132"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411 618</w:t>
                  </w:r>
                </w:p>
              </w:tc>
              <w:tc>
                <w:tcPr>
                  <w:tcW w:w="1364"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61,1%</w:t>
                  </w:r>
                </w:p>
              </w:tc>
              <w:tc>
                <w:tcPr>
                  <w:tcW w:w="1170"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262 567</w:t>
                  </w:r>
                </w:p>
              </w:tc>
              <w:tc>
                <w:tcPr>
                  <w:tcW w:w="1251" w:type="dxa"/>
                  <w:tcBorders>
                    <w:top w:val="nil"/>
                    <w:left w:val="nil"/>
                    <w:bottom w:val="double" w:sz="6" w:space="0" w:color="333333"/>
                    <w:right w:val="double" w:sz="6" w:space="0" w:color="FF0000"/>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77 226</w:t>
                  </w:r>
                </w:p>
              </w:tc>
              <w:tc>
                <w:tcPr>
                  <w:tcW w:w="1238" w:type="dxa"/>
                  <w:tcBorders>
                    <w:top w:val="nil"/>
                    <w:left w:val="nil"/>
                    <w:bottom w:val="double" w:sz="6" w:space="0" w:color="333333"/>
                    <w:right w:val="nil"/>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85,0%</w:t>
                  </w:r>
                </w:p>
              </w:tc>
              <w:tc>
                <w:tcPr>
                  <w:tcW w:w="1021" w:type="dxa"/>
                  <w:tcBorders>
                    <w:top w:val="nil"/>
                    <w:left w:val="double" w:sz="6" w:space="0" w:color="auto"/>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572 859</w:t>
                  </w:r>
                </w:p>
              </w:tc>
              <w:tc>
                <w:tcPr>
                  <w:tcW w:w="1076"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349 876</w:t>
                  </w:r>
                </w:p>
              </w:tc>
              <w:tc>
                <w:tcPr>
                  <w:tcW w:w="1415"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61,1%</w:t>
                  </w:r>
                </w:p>
              </w:tc>
              <w:tc>
                <w:tcPr>
                  <w:tcW w:w="1016" w:type="dxa"/>
                  <w:tcBorders>
                    <w:top w:val="nil"/>
                    <w:left w:val="nil"/>
                    <w:bottom w:val="double" w:sz="6" w:space="0" w:color="333333"/>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223 182</w:t>
                  </w:r>
                </w:p>
              </w:tc>
              <w:tc>
                <w:tcPr>
                  <w:tcW w:w="1168" w:type="dxa"/>
                  <w:tcBorders>
                    <w:top w:val="nil"/>
                    <w:left w:val="nil"/>
                    <w:bottom w:val="double" w:sz="6" w:space="0" w:color="333333"/>
                    <w:right w:val="double" w:sz="6" w:space="0" w:color="FF0000"/>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65 642</w:t>
                  </w:r>
                </w:p>
              </w:tc>
            </w:tr>
            <w:tr w:rsidR="00870CF9" w:rsidRPr="00233879" w:rsidTr="00AD4CA2">
              <w:trPr>
                <w:trHeight w:val="330"/>
              </w:trPr>
              <w:tc>
                <w:tcPr>
                  <w:tcW w:w="998" w:type="dxa"/>
                  <w:tcBorders>
                    <w:top w:val="nil"/>
                    <w:left w:val="double" w:sz="6" w:space="0" w:color="FF0000"/>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10</w:t>
                  </w:r>
                </w:p>
              </w:tc>
              <w:tc>
                <w:tcPr>
                  <w:tcW w:w="1107" w:type="dxa"/>
                  <w:tcBorders>
                    <w:top w:val="nil"/>
                    <w:left w:val="double" w:sz="6" w:space="0" w:color="FF0000"/>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503 417</w:t>
                  </w:r>
                </w:p>
              </w:tc>
              <w:tc>
                <w:tcPr>
                  <w:tcW w:w="1132"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327 483</w:t>
                  </w:r>
                </w:p>
              </w:tc>
              <w:tc>
                <w:tcPr>
                  <w:tcW w:w="1364"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65,1%</w:t>
                  </w:r>
                </w:p>
              </w:tc>
              <w:tc>
                <w:tcPr>
                  <w:tcW w:w="1170"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180 361</w:t>
                  </w:r>
                </w:p>
              </w:tc>
              <w:tc>
                <w:tcPr>
                  <w:tcW w:w="1251" w:type="dxa"/>
                  <w:tcBorders>
                    <w:top w:val="nil"/>
                    <w:left w:val="nil"/>
                    <w:bottom w:val="double" w:sz="6" w:space="0" w:color="333333"/>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53 047</w:t>
                  </w:r>
                </w:p>
              </w:tc>
              <w:tc>
                <w:tcPr>
                  <w:tcW w:w="1238" w:type="dxa"/>
                  <w:tcBorders>
                    <w:top w:val="nil"/>
                    <w:left w:val="nil"/>
                    <w:bottom w:val="double" w:sz="6" w:space="0" w:color="333333"/>
                    <w:right w:val="nil"/>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85,0%</w:t>
                  </w:r>
                </w:p>
              </w:tc>
              <w:tc>
                <w:tcPr>
                  <w:tcW w:w="1021" w:type="dxa"/>
                  <w:tcBorders>
                    <w:top w:val="nil"/>
                    <w:left w:val="double" w:sz="6" w:space="0" w:color="auto"/>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427 904</w:t>
                  </w:r>
                </w:p>
              </w:tc>
              <w:tc>
                <w:tcPr>
                  <w:tcW w:w="1076"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278 360</w:t>
                  </w:r>
                </w:p>
              </w:tc>
              <w:tc>
                <w:tcPr>
                  <w:tcW w:w="1415"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65,1%</w:t>
                  </w:r>
                </w:p>
              </w:tc>
              <w:tc>
                <w:tcPr>
                  <w:tcW w:w="1016" w:type="dxa"/>
                  <w:tcBorders>
                    <w:top w:val="nil"/>
                    <w:left w:val="nil"/>
                    <w:bottom w:val="double" w:sz="6" w:space="0" w:color="333333"/>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153 307</w:t>
                  </w:r>
                </w:p>
              </w:tc>
              <w:tc>
                <w:tcPr>
                  <w:tcW w:w="1168" w:type="dxa"/>
                  <w:tcBorders>
                    <w:top w:val="nil"/>
                    <w:left w:val="nil"/>
                    <w:bottom w:val="double" w:sz="6" w:space="0" w:color="333333"/>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45 090</w:t>
                  </w:r>
                </w:p>
              </w:tc>
            </w:tr>
            <w:tr w:rsidR="00870CF9" w:rsidRPr="00233879" w:rsidTr="00AD4CA2">
              <w:trPr>
                <w:trHeight w:val="330"/>
              </w:trPr>
              <w:tc>
                <w:tcPr>
                  <w:tcW w:w="998" w:type="dxa"/>
                  <w:tcBorders>
                    <w:top w:val="nil"/>
                    <w:left w:val="double" w:sz="6" w:space="0" w:color="FF0000"/>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11</w:t>
                  </w:r>
                </w:p>
              </w:tc>
              <w:tc>
                <w:tcPr>
                  <w:tcW w:w="1107" w:type="dxa"/>
                  <w:tcBorders>
                    <w:top w:val="nil"/>
                    <w:left w:val="double" w:sz="6" w:space="0" w:color="FF0000"/>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1 048 232</w:t>
                  </w:r>
                </w:p>
              </w:tc>
              <w:tc>
                <w:tcPr>
                  <w:tcW w:w="1132" w:type="dxa"/>
                  <w:tcBorders>
                    <w:top w:val="nil"/>
                    <w:left w:val="nil"/>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758 408</w:t>
                  </w:r>
                </w:p>
              </w:tc>
              <w:tc>
                <w:tcPr>
                  <w:tcW w:w="1364" w:type="dxa"/>
                  <w:tcBorders>
                    <w:top w:val="nil"/>
                    <w:left w:val="nil"/>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72,4%</w:t>
                  </w:r>
                </w:p>
              </w:tc>
              <w:tc>
                <w:tcPr>
                  <w:tcW w:w="1170" w:type="dxa"/>
                  <w:tcBorders>
                    <w:top w:val="nil"/>
                    <w:left w:val="nil"/>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307 809</w:t>
                  </w:r>
                </w:p>
              </w:tc>
              <w:tc>
                <w:tcPr>
                  <w:tcW w:w="1251" w:type="dxa"/>
                  <w:tcBorders>
                    <w:top w:val="nil"/>
                    <w:left w:val="nil"/>
                    <w:bottom w:val="nil"/>
                    <w:right w:val="double" w:sz="6" w:space="0" w:color="FF0000"/>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90 532</w:t>
                  </w:r>
                </w:p>
              </w:tc>
              <w:tc>
                <w:tcPr>
                  <w:tcW w:w="1238" w:type="dxa"/>
                  <w:tcBorders>
                    <w:top w:val="nil"/>
                    <w:left w:val="nil"/>
                    <w:bottom w:val="nil"/>
                    <w:right w:val="nil"/>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85,0%</w:t>
                  </w:r>
                </w:p>
              </w:tc>
              <w:tc>
                <w:tcPr>
                  <w:tcW w:w="1021" w:type="dxa"/>
                  <w:tcBorders>
                    <w:top w:val="nil"/>
                    <w:left w:val="double" w:sz="6" w:space="0" w:color="auto"/>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890 997</w:t>
                  </w:r>
                </w:p>
              </w:tc>
              <w:tc>
                <w:tcPr>
                  <w:tcW w:w="1076" w:type="dxa"/>
                  <w:tcBorders>
                    <w:top w:val="nil"/>
                    <w:left w:val="nil"/>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644 647</w:t>
                  </w:r>
                </w:p>
              </w:tc>
              <w:tc>
                <w:tcPr>
                  <w:tcW w:w="1415" w:type="dxa"/>
                  <w:tcBorders>
                    <w:top w:val="nil"/>
                    <w:left w:val="nil"/>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72,4%</w:t>
                  </w:r>
                </w:p>
              </w:tc>
              <w:tc>
                <w:tcPr>
                  <w:tcW w:w="1016" w:type="dxa"/>
                  <w:tcBorders>
                    <w:top w:val="nil"/>
                    <w:left w:val="nil"/>
                    <w:bottom w:val="nil"/>
                    <w:right w:val="double" w:sz="6" w:space="0" w:color="333333"/>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261 637</w:t>
                  </w:r>
                </w:p>
              </w:tc>
              <w:tc>
                <w:tcPr>
                  <w:tcW w:w="1168" w:type="dxa"/>
                  <w:tcBorders>
                    <w:top w:val="nil"/>
                    <w:left w:val="nil"/>
                    <w:bottom w:val="nil"/>
                    <w:right w:val="double" w:sz="6" w:space="0" w:color="FF0000"/>
                  </w:tcBorders>
                  <w:shd w:val="clear" w:color="000000" w:fill="B8CCE4"/>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76 952</w:t>
                  </w:r>
                </w:p>
              </w:tc>
            </w:tr>
            <w:tr w:rsidR="00870CF9" w:rsidRPr="00233879" w:rsidTr="00AD4CA2">
              <w:trPr>
                <w:trHeight w:val="330"/>
              </w:trPr>
              <w:tc>
                <w:tcPr>
                  <w:tcW w:w="998" w:type="dxa"/>
                  <w:tcBorders>
                    <w:top w:val="double" w:sz="6" w:space="0" w:color="FF0000"/>
                    <w:left w:val="double" w:sz="6" w:space="0" w:color="FF0000"/>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sidRPr="00233879">
                    <w:rPr>
                      <w:rFonts w:eastAsia="Times New Roman" w:cs="Calibri"/>
                      <w:b/>
                      <w:bCs/>
                      <w:sz w:val="20"/>
                      <w:szCs w:val="20"/>
                      <w:lang w:eastAsia="pl-PL"/>
                    </w:rPr>
                    <w:t>6-11</w:t>
                  </w:r>
                </w:p>
              </w:tc>
              <w:tc>
                <w:tcPr>
                  <w:tcW w:w="1107" w:type="dxa"/>
                  <w:tcBorders>
                    <w:top w:val="double" w:sz="6" w:space="0" w:color="FF0000"/>
                    <w:left w:val="double" w:sz="6" w:space="0" w:color="FF0000"/>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5 508 130</w:t>
                  </w:r>
                </w:p>
              </w:tc>
              <w:tc>
                <w:tcPr>
                  <w:tcW w:w="1132" w:type="dxa"/>
                  <w:tcBorders>
                    <w:top w:val="double" w:sz="6" w:space="0" w:color="FF0000"/>
                    <w:left w:val="nil"/>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3 049 762</w:t>
                  </w:r>
                </w:p>
              </w:tc>
              <w:tc>
                <w:tcPr>
                  <w:tcW w:w="1364" w:type="dxa"/>
                  <w:tcBorders>
                    <w:top w:val="double" w:sz="6" w:space="0" w:color="FF0000"/>
                    <w:left w:val="nil"/>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55,4%</w:t>
                  </w:r>
                </w:p>
              </w:tc>
              <w:tc>
                <w:tcPr>
                  <w:tcW w:w="1170" w:type="dxa"/>
                  <w:tcBorders>
                    <w:top w:val="double" w:sz="6" w:space="0" w:color="FF0000"/>
                    <w:left w:val="nil"/>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2 493 581</w:t>
                  </w:r>
                </w:p>
              </w:tc>
              <w:tc>
                <w:tcPr>
                  <w:tcW w:w="1251" w:type="dxa"/>
                  <w:tcBorders>
                    <w:top w:val="double" w:sz="6" w:space="0" w:color="FF0000"/>
                    <w:left w:val="nil"/>
                    <w:bottom w:val="double" w:sz="6" w:space="0" w:color="FF0000"/>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733 406</w:t>
                  </w:r>
                </w:p>
              </w:tc>
              <w:tc>
                <w:tcPr>
                  <w:tcW w:w="1238" w:type="dxa"/>
                  <w:tcBorders>
                    <w:top w:val="double" w:sz="6" w:space="0" w:color="FF0000"/>
                    <w:left w:val="nil"/>
                    <w:bottom w:val="double" w:sz="6" w:space="0" w:color="FF0000"/>
                    <w:right w:val="nil"/>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92,7%</w:t>
                  </w:r>
                </w:p>
              </w:tc>
              <w:tc>
                <w:tcPr>
                  <w:tcW w:w="1021" w:type="dxa"/>
                  <w:tcBorders>
                    <w:top w:val="double" w:sz="6" w:space="0" w:color="FF0000"/>
                    <w:left w:val="double" w:sz="6" w:space="0" w:color="auto"/>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5 026 601</w:t>
                  </w:r>
                </w:p>
              </w:tc>
              <w:tc>
                <w:tcPr>
                  <w:tcW w:w="1076" w:type="dxa"/>
                  <w:tcBorders>
                    <w:top w:val="double" w:sz="6" w:space="0" w:color="FF0000"/>
                    <w:left w:val="nil"/>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2 746 718</w:t>
                  </w:r>
                </w:p>
              </w:tc>
              <w:tc>
                <w:tcPr>
                  <w:tcW w:w="1415" w:type="dxa"/>
                  <w:tcBorders>
                    <w:top w:val="double" w:sz="6" w:space="0" w:color="FF0000"/>
                    <w:left w:val="nil"/>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54,6%</w:t>
                  </w:r>
                </w:p>
              </w:tc>
              <w:tc>
                <w:tcPr>
                  <w:tcW w:w="1016" w:type="dxa"/>
                  <w:tcBorders>
                    <w:top w:val="double" w:sz="6" w:space="0" w:color="FF0000"/>
                    <w:left w:val="nil"/>
                    <w:bottom w:val="double" w:sz="6" w:space="0" w:color="FF0000"/>
                    <w:right w:val="double" w:sz="6" w:space="0" w:color="333333"/>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2 310 920</w:t>
                  </w:r>
                </w:p>
              </w:tc>
              <w:tc>
                <w:tcPr>
                  <w:tcW w:w="1168" w:type="dxa"/>
                  <w:tcBorders>
                    <w:top w:val="double" w:sz="6" w:space="0" w:color="FF0000"/>
                    <w:left w:val="nil"/>
                    <w:bottom w:val="double" w:sz="6" w:space="0" w:color="FF0000"/>
                    <w:right w:val="double" w:sz="6" w:space="0" w:color="FF0000"/>
                  </w:tcBorders>
                  <w:shd w:val="clear" w:color="000000" w:fill="538DD5"/>
                  <w:noWrap/>
                  <w:vAlign w:val="bottom"/>
                </w:tcPr>
                <w:p w:rsidR="00AD4CA2" w:rsidRPr="00233879" w:rsidRDefault="00AD4CA2" w:rsidP="00233879">
                  <w:pPr>
                    <w:spacing w:after="0" w:line="240" w:lineRule="auto"/>
                    <w:jc w:val="right"/>
                    <w:rPr>
                      <w:rFonts w:eastAsia="Times New Roman" w:cs="Calibri"/>
                      <w:b/>
                      <w:bCs/>
                      <w:sz w:val="20"/>
                      <w:szCs w:val="20"/>
                      <w:lang w:eastAsia="pl-PL"/>
                    </w:rPr>
                  </w:pPr>
                  <w:r>
                    <w:rPr>
                      <w:rFonts w:cs="Calibri"/>
                      <w:b/>
                      <w:bCs/>
                      <w:sz w:val="20"/>
                      <w:szCs w:val="20"/>
                    </w:rPr>
                    <w:t>679 682</w:t>
                  </w:r>
                </w:p>
              </w:tc>
            </w:tr>
          </w:tbl>
          <w:p w:rsidR="00BF2494" w:rsidRDefault="00BF2494" w:rsidP="00981B1C">
            <w:pPr>
              <w:autoSpaceDE w:val="0"/>
              <w:autoSpaceDN w:val="0"/>
              <w:adjustRightInd w:val="0"/>
              <w:spacing w:after="0" w:line="240" w:lineRule="auto"/>
              <w:jc w:val="both"/>
              <w:rPr>
                <w:rFonts w:cs="Calibri"/>
                <w:b/>
                <w:bCs/>
                <w:color w:val="000000"/>
                <w:sz w:val="20"/>
                <w:szCs w:val="20"/>
                <w:lang w:eastAsia="pl-PL"/>
              </w:rPr>
            </w:pPr>
          </w:p>
          <w:p w:rsidR="00FF2163" w:rsidRDefault="00FF2163" w:rsidP="00981B1C">
            <w:pPr>
              <w:autoSpaceDE w:val="0"/>
              <w:autoSpaceDN w:val="0"/>
              <w:adjustRightInd w:val="0"/>
              <w:spacing w:after="0" w:line="240" w:lineRule="auto"/>
              <w:jc w:val="both"/>
              <w:rPr>
                <w:rFonts w:cs="Calibri"/>
                <w:b/>
                <w:bCs/>
                <w:color w:val="000000"/>
                <w:sz w:val="20"/>
                <w:szCs w:val="20"/>
                <w:lang w:eastAsia="pl-PL"/>
              </w:rPr>
            </w:pPr>
          </w:p>
          <w:p w:rsidR="00981B1C" w:rsidRPr="000142BF" w:rsidRDefault="00981B1C" w:rsidP="000C33B3">
            <w:pPr>
              <w:autoSpaceDE w:val="0"/>
              <w:autoSpaceDN w:val="0"/>
              <w:adjustRightInd w:val="0"/>
              <w:spacing w:after="0" w:line="240" w:lineRule="auto"/>
              <w:jc w:val="both"/>
              <w:rPr>
                <w:rFonts w:cs="Calibri"/>
                <w:bCs/>
                <w:color w:val="000000"/>
                <w:sz w:val="20"/>
                <w:szCs w:val="20"/>
                <w:lang w:eastAsia="pl-PL"/>
              </w:rPr>
            </w:pPr>
          </w:p>
        </w:tc>
      </w:tr>
    </w:tbl>
    <w:p w:rsidR="00981B1C" w:rsidRDefault="00981B1C" w:rsidP="00981B1C">
      <w:pPr>
        <w:autoSpaceDE w:val="0"/>
        <w:autoSpaceDN w:val="0"/>
        <w:adjustRightInd w:val="0"/>
        <w:spacing w:after="0" w:line="240" w:lineRule="auto"/>
        <w:jc w:val="both"/>
        <w:rPr>
          <w:rFonts w:cs="Calibri"/>
          <w:bCs/>
          <w:color w:val="000000"/>
          <w:sz w:val="20"/>
          <w:szCs w:val="20"/>
          <w:lang w:eastAsia="pl-PL"/>
        </w:rPr>
        <w:sectPr w:rsidR="00981B1C" w:rsidSect="00981B1C">
          <w:pgSz w:w="16838" w:h="11906" w:orient="landscape" w:code="9"/>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1B1C" w:rsidRPr="00CC3C1B" w:rsidTr="000C33B3">
        <w:tc>
          <w:tcPr>
            <w:tcW w:w="9212" w:type="dxa"/>
            <w:shd w:val="clear" w:color="auto" w:fill="auto"/>
          </w:tcPr>
          <w:p w:rsidR="00981B1C" w:rsidRPr="00981B1C" w:rsidRDefault="00981B1C" w:rsidP="00981B1C">
            <w:pPr>
              <w:autoSpaceDE w:val="0"/>
              <w:autoSpaceDN w:val="0"/>
              <w:adjustRightInd w:val="0"/>
              <w:spacing w:after="0" w:line="240" w:lineRule="auto"/>
              <w:jc w:val="both"/>
              <w:rPr>
                <w:rFonts w:cs="Calibri"/>
                <w:bCs/>
                <w:color w:val="000000"/>
                <w:sz w:val="20"/>
                <w:szCs w:val="20"/>
                <w:lang w:eastAsia="pl-PL"/>
              </w:rPr>
            </w:pPr>
            <w:r w:rsidRPr="00981B1C">
              <w:rPr>
                <w:rFonts w:cs="Calibri"/>
                <w:bCs/>
                <w:color w:val="000000"/>
                <w:sz w:val="20"/>
                <w:szCs w:val="20"/>
                <w:lang w:eastAsia="pl-PL"/>
              </w:rPr>
              <w:lastRenderedPageBreak/>
              <w:t xml:space="preserve">Alokacja na dofinansowanie projektów w 15 województwach słabiej rozwiniętych w wysokości </w:t>
            </w:r>
            <w:r w:rsidR="00BF2494" w:rsidRPr="00227FE0">
              <w:rPr>
                <w:rFonts w:cs="Calibri"/>
                <w:bCs/>
                <w:color w:val="000000"/>
                <w:sz w:val="20"/>
                <w:szCs w:val="20"/>
                <w:lang w:eastAsia="pl-PL"/>
              </w:rPr>
              <w:t>3</w:t>
            </w:r>
            <w:r w:rsidR="002D3108">
              <w:rPr>
                <w:rFonts w:cs="Calibri"/>
                <w:bCs/>
                <w:color w:val="000000"/>
                <w:sz w:val="20"/>
                <w:szCs w:val="20"/>
                <w:lang w:eastAsia="pl-PL"/>
              </w:rPr>
              <w:t> 0</w:t>
            </w:r>
            <w:r w:rsidR="00870CF9">
              <w:rPr>
                <w:rFonts w:cs="Calibri"/>
                <w:bCs/>
                <w:color w:val="000000"/>
                <w:sz w:val="20"/>
                <w:szCs w:val="20"/>
                <w:lang w:eastAsia="pl-PL"/>
              </w:rPr>
              <w:t>49</w:t>
            </w:r>
            <w:r w:rsidR="002D3108">
              <w:rPr>
                <w:rFonts w:cs="Calibri"/>
                <w:bCs/>
                <w:color w:val="000000"/>
                <w:sz w:val="20"/>
                <w:szCs w:val="20"/>
                <w:lang w:eastAsia="pl-PL"/>
              </w:rPr>
              <w:t> </w:t>
            </w:r>
            <w:r w:rsidR="00870CF9">
              <w:rPr>
                <w:rFonts w:cs="Calibri"/>
                <w:bCs/>
                <w:color w:val="000000"/>
                <w:sz w:val="20"/>
                <w:szCs w:val="20"/>
                <w:lang w:eastAsia="pl-PL"/>
              </w:rPr>
              <w:t xml:space="preserve">761 566 </w:t>
            </w:r>
            <w:r w:rsidRPr="00981B1C">
              <w:rPr>
                <w:rFonts w:cs="Calibri"/>
                <w:bCs/>
                <w:color w:val="000000"/>
                <w:sz w:val="20"/>
                <w:szCs w:val="20"/>
                <w:lang w:eastAsia="pl-PL"/>
              </w:rPr>
              <w:t xml:space="preserve">PLN stanowi </w:t>
            </w:r>
            <w:r w:rsidR="00BF2494">
              <w:rPr>
                <w:rFonts w:cs="Calibri"/>
                <w:bCs/>
                <w:color w:val="000000"/>
                <w:sz w:val="20"/>
                <w:szCs w:val="20"/>
                <w:lang w:eastAsia="pl-PL"/>
              </w:rPr>
              <w:t>6</w:t>
            </w:r>
            <w:r w:rsidR="00870CF9">
              <w:rPr>
                <w:rFonts w:cs="Calibri"/>
                <w:bCs/>
                <w:color w:val="000000"/>
                <w:sz w:val="20"/>
                <w:szCs w:val="20"/>
                <w:lang w:eastAsia="pl-PL"/>
              </w:rPr>
              <w:t>8</w:t>
            </w:r>
            <w:r w:rsidR="00BF2494">
              <w:rPr>
                <w:rFonts w:cs="Calibri"/>
                <w:bCs/>
                <w:color w:val="000000"/>
                <w:sz w:val="20"/>
                <w:szCs w:val="20"/>
                <w:lang w:eastAsia="pl-PL"/>
              </w:rPr>
              <w:t>,</w:t>
            </w:r>
            <w:r w:rsidR="00870CF9">
              <w:rPr>
                <w:rFonts w:cs="Calibri"/>
                <w:bCs/>
                <w:color w:val="000000"/>
                <w:sz w:val="20"/>
                <w:szCs w:val="20"/>
                <w:lang w:eastAsia="pl-PL"/>
              </w:rPr>
              <w:t>6</w:t>
            </w:r>
            <w:r w:rsidRPr="00981B1C">
              <w:rPr>
                <w:rFonts w:cs="Calibri"/>
                <w:bCs/>
                <w:color w:val="000000"/>
                <w:sz w:val="20"/>
                <w:szCs w:val="20"/>
                <w:lang w:eastAsia="pl-PL"/>
              </w:rPr>
              <w:t>% środków niezbędnych, aby projekty w obszarach przyjętych do wsparcia w ramach POPC (kategoria gmin 6-11) były realizowane. Zatem z 1 068 351 gospodarstw domowych, które zgodnie z</w:t>
            </w:r>
            <w:r w:rsidR="00CE689D">
              <w:rPr>
                <w:rFonts w:cs="Calibri"/>
                <w:bCs/>
                <w:color w:val="000000"/>
                <w:sz w:val="20"/>
                <w:szCs w:val="20"/>
                <w:lang w:eastAsia="pl-PL"/>
              </w:rPr>
              <w:t> </w:t>
            </w:r>
            <w:r w:rsidRPr="00981B1C">
              <w:rPr>
                <w:rFonts w:cs="Calibri"/>
                <w:bCs/>
                <w:color w:val="000000"/>
                <w:sz w:val="20"/>
                <w:szCs w:val="20"/>
                <w:lang w:eastAsia="pl-PL"/>
              </w:rPr>
              <w:t xml:space="preserve">przyjętymi założeniami kwalifikują się do objęcia interwencją, dostępna alokacja umożliwi objęcie szerokopasmowym dostępem do sieci dla </w:t>
            </w:r>
            <w:r w:rsidR="00870CF9">
              <w:rPr>
                <w:rFonts w:cs="Calibri"/>
                <w:bCs/>
                <w:color w:val="000000"/>
                <w:sz w:val="20"/>
                <w:szCs w:val="20"/>
                <w:lang w:eastAsia="pl-PL"/>
              </w:rPr>
              <w:t>733 406</w:t>
            </w:r>
            <w:r w:rsidRPr="00981B1C">
              <w:rPr>
                <w:rFonts w:cs="Calibri"/>
                <w:bCs/>
                <w:color w:val="000000"/>
                <w:sz w:val="20"/>
                <w:szCs w:val="20"/>
                <w:lang w:eastAsia="pl-PL"/>
              </w:rPr>
              <w:t xml:space="preserve"> gospodarstw domowych</w:t>
            </w:r>
            <w:r w:rsidR="00037B76" w:rsidRPr="009A16F1">
              <w:rPr>
                <w:rFonts w:cs="Calibri"/>
                <w:bCs/>
                <w:color w:val="000000"/>
                <w:sz w:val="20"/>
                <w:szCs w:val="20"/>
                <w:lang w:eastAsia="pl-PL"/>
              </w:rPr>
              <w:t xml:space="preserve">. </w:t>
            </w:r>
            <w:r w:rsidR="00EA4D3F" w:rsidRPr="008F6D5F">
              <w:rPr>
                <w:rFonts w:cs="Calibri"/>
                <w:bCs/>
                <w:color w:val="000000"/>
                <w:sz w:val="20"/>
                <w:szCs w:val="20"/>
                <w:lang w:eastAsia="pl-PL"/>
              </w:rPr>
              <w:t>Ponadto,</w:t>
            </w:r>
            <w:r w:rsidR="00EA4D3F">
              <w:rPr>
                <w:rFonts w:cs="Calibri"/>
                <w:bCs/>
                <w:color w:val="000000"/>
                <w:sz w:val="20"/>
                <w:szCs w:val="20"/>
                <w:lang w:eastAsia="pl-PL"/>
              </w:rPr>
              <w:t xml:space="preserve"> ze względu na fakt, że</w:t>
            </w:r>
            <w:r w:rsidR="00F468EF">
              <w:rPr>
                <w:rFonts w:cs="Calibri"/>
                <w:bCs/>
                <w:color w:val="000000"/>
                <w:sz w:val="20"/>
                <w:szCs w:val="20"/>
                <w:lang w:eastAsia="pl-PL"/>
              </w:rPr>
              <w:t> </w:t>
            </w:r>
            <w:r w:rsidR="00EA4D3F">
              <w:rPr>
                <w:rFonts w:cs="Calibri"/>
                <w:bCs/>
                <w:color w:val="000000"/>
                <w:sz w:val="20"/>
                <w:szCs w:val="20"/>
                <w:lang w:eastAsia="pl-PL"/>
              </w:rPr>
              <w:t>kategorie gmin wymagające największych nakładów to obszary o rozproszonej zabudowie oraz trudnych warunkach ze względu na ukształtowanie terenu, cechujące się bardzo wysokimi kosztami tworzenia infrastruktury, uzasadnione jest tworzenie tu sieci o nieco niższych parametrach.</w:t>
            </w:r>
            <w:r w:rsidRPr="00981B1C">
              <w:rPr>
                <w:rFonts w:cs="Calibri"/>
                <w:bCs/>
                <w:color w:val="000000"/>
                <w:sz w:val="20"/>
                <w:szCs w:val="20"/>
                <w:lang w:eastAsia="pl-PL"/>
              </w:rPr>
              <w:t xml:space="preserve"> </w:t>
            </w:r>
            <w:r w:rsidR="008F6D5F">
              <w:rPr>
                <w:rFonts w:cs="Calibri"/>
                <w:bCs/>
                <w:color w:val="000000"/>
                <w:sz w:val="20"/>
                <w:szCs w:val="20"/>
                <w:lang w:eastAsia="pl-PL"/>
              </w:rPr>
              <w:t xml:space="preserve">W efekcie, przyjęto, że część gospodarstw domowych z obszarów zakwalifikowanych do wsparcia z POPC może zostać objęta dostępem do sieci o przepustowości poniżej 30 </w:t>
            </w:r>
            <w:proofErr w:type="spellStart"/>
            <w:r w:rsidR="008F6D5F">
              <w:rPr>
                <w:rFonts w:cs="Calibri"/>
                <w:bCs/>
                <w:color w:val="000000"/>
                <w:sz w:val="20"/>
                <w:szCs w:val="20"/>
                <w:lang w:eastAsia="pl-PL"/>
              </w:rPr>
              <w:t>Mb</w:t>
            </w:r>
            <w:proofErr w:type="spellEnd"/>
            <w:r w:rsidR="008F6D5F">
              <w:rPr>
                <w:rFonts w:cs="Calibri"/>
                <w:bCs/>
                <w:color w:val="000000"/>
                <w:sz w:val="20"/>
                <w:szCs w:val="20"/>
                <w:lang w:eastAsia="pl-PL"/>
              </w:rPr>
              <w:t xml:space="preserve">/s, przy czym, udział gospodarstw domowych do objęcia inwestycją poniżej 30 </w:t>
            </w:r>
            <w:proofErr w:type="spellStart"/>
            <w:r w:rsidR="008813A5">
              <w:rPr>
                <w:rFonts w:cs="Calibri"/>
                <w:bCs/>
                <w:color w:val="000000"/>
                <w:sz w:val="20"/>
                <w:szCs w:val="20"/>
                <w:lang w:eastAsia="pl-PL"/>
              </w:rPr>
              <w:t>M</w:t>
            </w:r>
            <w:r w:rsidR="008F6D5F">
              <w:rPr>
                <w:rFonts w:cs="Calibri"/>
                <w:bCs/>
                <w:color w:val="000000"/>
                <w:sz w:val="20"/>
                <w:szCs w:val="20"/>
                <w:lang w:eastAsia="pl-PL"/>
              </w:rPr>
              <w:t>b</w:t>
            </w:r>
            <w:proofErr w:type="spellEnd"/>
            <w:r w:rsidR="008F6D5F">
              <w:rPr>
                <w:rFonts w:cs="Calibri"/>
                <w:bCs/>
                <w:color w:val="000000"/>
                <w:sz w:val="20"/>
                <w:szCs w:val="20"/>
                <w:lang w:eastAsia="pl-PL"/>
              </w:rPr>
              <w:t xml:space="preserve">/s będzie uzasadniony od kategorii 7 i będzie wzrastał, osiągając </w:t>
            </w:r>
            <w:r w:rsidR="008A4692">
              <w:rPr>
                <w:rFonts w:cs="Calibri"/>
                <w:bCs/>
                <w:color w:val="000000"/>
                <w:sz w:val="20"/>
                <w:szCs w:val="20"/>
                <w:lang w:eastAsia="pl-PL"/>
              </w:rPr>
              <w:t>1</w:t>
            </w:r>
            <w:r w:rsidR="0081781C">
              <w:rPr>
                <w:rFonts w:cs="Calibri"/>
                <w:bCs/>
                <w:color w:val="000000"/>
                <w:sz w:val="20"/>
                <w:szCs w:val="20"/>
                <w:lang w:eastAsia="pl-PL"/>
              </w:rPr>
              <w:t>5</w:t>
            </w:r>
            <w:r w:rsidR="008F6D5F">
              <w:rPr>
                <w:rFonts w:cs="Calibri"/>
                <w:bCs/>
                <w:color w:val="000000"/>
                <w:sz w:val="20"/>
                <w:szCs w:val="20"/>
                <w:lang w:eastAsia="pl-PL"/>
              </w:rPr>
              <w:t>% w kategori</w:t>
            </w:r>
            <w:r w:rsidR="0081781C">
              <w:rPr>
                <w:rFonts w:cs="Calibri"/>
                <w:bCs/>
                <w:color w:val="000000"/>
                <w:sz w:val="20"/>
                <w:szCs w:val="20"/>
                <w:lang w:eastAsia="pl-PL"/>
              </w:rPr>
              <w:t>ach</w:t>
            </w:r>
            <w:r w:rsidR="008F6D5F">
              <w:rPr>
                <w:rFonts w:cs="Calibri"/>
                <w:bCs/>
                <w:color w:val="000000"/>
                <w:sz w:val="20"/>
                <w:szCs w:val="20"/>
                <w:lang w:eastAsia="pl-PL"/>
              </w:rPr>
              <w:t xml:space="preserve"> </w:t>
            </w:r>
            <w:r w:rsidR="0081781C">
              <w:rPr>
                <w:rFonts w:cs="Calibri"/>
                <w:bCs/>
                <w:color w:val="000000"/>
                <w:sz w:val="20"/>
                <w:szCs w:val="20"/>
                <w:lang w:eastAsia="pl-PL"/>
              </w:rPr>
              <w:t>9-</w:t>
            </w:r>
            <w:r w:rsidR="008F6D5F">
              <w:rPr>
                <w:rFonts w:cs="Calibri"/>
                <w:bCs/>
                <w:color w:val="000000"/>
                <w:sz w:val="20"/>
                <w:szCs w:val="20"/>
                <w:lang w:eastAsia="pl-PL"/>
              </w:rPr>
              <w:t>11 tj. najtrudniejszych inwestycji.</w:t>
            </w:r>
            <w:r w:rsidRPr="00981B1C">
              <w:rPr>
                <w:rFonts w:cs="Calibri"/>
                <w:bCs/>
                <w:color w:val="000000"/>
                <w:sz w:val="20"/>
                <w:szCs w:val="20"/>
                <w:lang w:eastAsia="pl-PL"/>
              </w:rPr>
              <w:t xml:space="preserve"> </w:t>
            </w:r>
            <w:r w:rsidR="008A4692">
              <w:rPr>
                <w:rFonts w:cs="Calibri"/>
                <w:bCs/>
                <w:color w:val="000000"/>
                <w:sz w:val="20"/>
                <w:szCs w:val="20"/>
                <w:lang w:eastAsia="pl-PL"/>
              </w:rPr>
              <w:t xml:space="preserve">W ramach wspartych gospodarstw dostęp do Internetu o przepustowości poniżej 30 </w:t>
            </w:r>
            <w:proofErr w:type="spellStart"/>
            <w:r w:rsidR="008813A5">
              <w:rPr>
                <w:rFonts w:cs="Calibri"/>
                <w:bCs/>
                <w:color w:val="000000"/>
                <w:sz w:val="20"/>
                <w:szCs w:val="20"/>
                <w:lang w:eastAsia="pl-PL"/>
              </w:rPr>
              <w:t>M</w:t>
            </w:r>
            <w:r w:rsidR="008A4692">
              <w:rPr>
                <w:rFonts w:cs="Calibri"/>
                <w:bCs/>
                <w:color w:val="000000"/>
                <w:sz w:val="20"/>
                <w:szCs w:val="20"/>
                <w:lang w:eastAsia="pl-PL"/>
              </w:rPr>
              <w:t>b</w:t>
            </w:r>
            <w:proofErr w:type="spellEnd"/>
            <w:r w:rsidR="008A4692">
              <w:rPr>
                <w:rFonts w:cs="Calibri"/>
                <w:bCs/>
                <w:color w:val="000000"/>
                <w:sz w:val="20"/>
                <w:szCs w:val="20"/>
                <w:lang w:eastAsia="pl-PL"/>
              </w:rPr>
              <w:t xml:space="preserve">/s będzie dotyczył w efekcie 7,3% wspartych podmiotów. </w:t>
            </w:r>
            <w:r w:rsidRPr="00981B1C">
              <w:rPr>
                <w:rFonts w:cs="Calibri"/>
                <w:bCs/>
                <w:color w:val="000000"/>
                <w:sz w:val="20"/>
                <w:szCs w:val="20"/>
                <w:lang w:eastAsia="pl-PL"/>
              </w:rPr>
              <w:t xml:space="preserve">Dostępna alokacja w ramach </w:t>
            </w:r>
            <w:r w:rsidR="00643A68">
              <w:rPr>
                <w:rFonts w:cs="Calibri"/>
                <w:bCs/>
                <w:color w:val="000000"/>
                <w:sz w:val="20"/>
                <w:szCs w:val="20"/>
                <w:lang w:eastAsia="pl-PL"/>
              </w:rPr>
              <w:t>o</w:t>
            </w:r>
            <w:r w:rsidR="00643A68" w:rsidRPr="00981B1C">
              <w:rPr>
                <w:rFonts w:cs="Calibri"/>
                <w:bCs/>
                <w:color w:val="000000"/>
                <w:sz w:val="20"/>
                <w:szCs w:val="20"/>
                <w:lang w:eastAsia="pl-PL"/>
              </w:rPr>
              <w:t xml:space="preserve">si </w:t>
            </w:r>
            <w:r w:rsidR="00643A68">
              <w:rPr>
                <w:rFonts w:cs="Calibri"/>
                <w:bCs/>
                <w:color w:val="000000"/>
                <w:sz w:val="20"/>
                <w:szCs w:val="20"/>
                <w:lang w:eastAsia="pl-PL"/>
              </w:rPr>
              <w:t>I</w:t>
            </w:r>
            <w:r w:rsidR="00643A68" w:rsidRPr="00981B1C">
              <w:rPr>
                <w:rFonts w:cs="Calibri"/>
                <w:bCs/>
                <w:color w:val="000000"/>
                <w:sz w:val="20"/>
                <w:szCs w:val="20"/>
                <w:lang w:eastAsia="pl-PL"/>
              </w:rPr>
              <w:t xml:space="preserve"> </w:t>
            </w:r>
            <w:r w:rsidRPr="00981B1C">
              <w:rPr>
                <w:rFonts w:cs="Calibri"/>
                <w:bCs/>
                <w:color w:val="000000"/>
                <w:sz w:val="20"/>
                <w:szCs w:val="20"/>
                <w:lang w:eastAsia="pl-PL"/>
              </w:rPr>
              <w:t xml:space="preserve">POPC </w:t>
            </w:r>
            <w:r w:rsidR="009A16F1" w:rsidRPr="00981B1C">
              <w:rPr>
                <w:rFonts w:cs="Calibri"/>
                <w:bCs/>
                <w:color w:val="000000"/>
                <w:sz w:val="20"/>
                <w:szCs w:val="20"/>
                <w:lang w:eastAsia="pl-PL"/>
              </w:rPr>
              <w:t>umożliwi zatem</w:t>
            </w:r>
            <w:r w:rsidRPr="00981B1C">
              <w:rPr>
                <w:rFonts w:cs="Calibri"/>
                <w:bCs/>
                <w:color w:val="000000"/>
                <w:sz w:val="20"/>
                <w:szCs w:val="20"/>
                <w:lang w:eastAsia="pl-PL"/>
              </w:rPr>
              <w:t xml:space="preserve"> objęcie szerokopasmowym dostępem do sieci o </w:t>
            </w:r>
            <w:r w:rsidR="009A16F1" w:rsidRPr="00981B1C">
              <w:rPr>
                <w:rFonts w:cs="Calibri"/>
                <w:bCs/>
                <w:color w:val="000000"/>
                <w:sz w:val="20"/>
                <w:szCs w:val="20"/>
                <w:lang w:eastAsia="pl-PL"/>
              </w:rPr>
              <w:t>przepustowości co</w:t>
            </w:r>
            <w:r w:rsidRPr="00981B1C">
              <w:rPr>
                <w:rFonts w:cs="Calibri"/>
                <w:bCs/>
                <w:color w:val="000000"/>
                <w:sz w:val="20"/>
                <w:szCs w:val="20"/>
                <w:lang w:eastAsia="pl-PL"/>
              </w:rPr>
              <w:t xml:space="preserve"> najmniej 30 </w:t>
            </w:r>
            <w:proofErr w:type="spellStart"/>
            <w:r w:rsidRPr="00981B1C">
              <w:rPr>
                <w:rFonts w:cs="Calibri"/>
                <w:bCs/>
                <w:color w:val="000000"/>
                <w:sz w:val="20"/>
                <w:szCs w:val="20"/>
                <w:lang w:eastAsia="pl-PL"/>
              </w:rPr>
              <w:t>Mb</w:t>
            </w:r>
            <w:proofErr w:type="spellEnd"/>
            <w:r w:rsidRPr="00981B1C">
              <w:rPr>
                <w:rFonts w:cs="Calibri"/>
                <w:bCs/>
                <w:color w:val="000000"/>
                <w:sz w:val="20"/>
                <w:szCs w:val="20"/>
                <w:lang w:eastAsia="pl-PL"/>
              </w:rPr>
              <w:t xml:space="preserve">/s dla </w:t>
            </w:r>
            <w:r w:rsidR="00BF2494">
              <w:rPr>
                <w:rFonts w:cs="Calibri"/>
                <w:bCs/>
                <w:color w:val="000000"/>
                <w:sz w:val="20"/>
                <w:szCs w:val="20"/>
                <w:lang w:eastAsia="pl-PL"/>
              </w:rPr>
              <w:br/>
            </w:r>
            <w:r w:rsidR="00870CF9" w:rsidRPr="00227FE0">
              <w:rPr>
                <w:rFonts w:cs="Calibri"/>
                <w:b/>
                <w:bCs/>
                <w:color w:val="000000"/>
                <w:sz w:val="20"/>
                <w:szCs w:val="20"/>
                <w:lang w:eastAsia="pl-PL"/>
              </w:rPr>
              <w:t>6</w:t>
            </w:r>
            <w:r w:rsidR="00870CF9">
              <w:rPr>
                <w:rFonts w:cs="Calibri"/>
                <w:b/>
                <w:bCs/>
                <w:color w:val="000000"/>
                <w:sz w:val="20"/>
                <w:szCs w:val="20"/>
                <w:lang w:eastAsia="pl-PL"/>
              </w:rPr>
              <w:t>79</w:t>
            </w:r>
            <w:r w:rsidR="00870CF9" w:rsidRPr="00227FE0">
              <w:rPr>
                <w:rFonts w:cs="Calibri"/>
                <w:b/>
                <w:bCs/>
                <w:color w:val="000000"/>
                <w:sz w:val="20"/>
                <w:szCs w:val="20"/>
                <w:lang w:eastAsia="pl-PL"/>
              </w:rPr>
              <w:t xml:space="preserve"> </w:t>
            </w:r>
            <w:r w:rsidR="00870CF9">
              <w:rPr>
                <w:rFonts w:cs="Calibri"/>
                <w:b/>
                <w:bCs/>
                <w:color w:val="000000"/>
                <w:sz w:val="20"/>
                <w:szCs w:val="20"/>
                <w:lang w:eastAsia="pl-PL"/>
              </w:rPr>
              <w:t>682</w:t>
            </w:r>
            <w:r w:rsidR="00870CF9" w:rsidRPr="00981B1C">
              <w:rPr>
                <w:rFonts w:cs="Calibri"/>
                <w:bCs/>
                <w:color w:val="000000"/>
                <w:sz w:val="20"/>
                <w:szCs w:val="20"/>
                <w:lang w:eastAsia="pl-PL"/>
              </w:rPr>
              <w:t xml:space="preserve"> </w:t>
            </w:r>
            <w:r w:rsidRPr="00981B1C">
              <w:rPr>
                <w:rFonts w:cs="Calibri"/>
                <w:bCs/>
                <w:color w:val="000000"/>
                <w:sz w:val="20"/>
                <w:szCs w:val="20"/>
                <w:lang w:eastAsia="pl-PL"/>
              </w:rPr>
              <w:t>gospodarstw domowych w regionach słabiej rozwiniętych.</w:t>
            </w:r>
          </w:p>
          <w:p w:rsidR="00981B1C" w:rsidRPr="00981B1C" w:rsidRDefault="00981B1C" w:rsidP="00981B1C">
            <w:pPr>
              <w:spacing w:before="120" w:after="120" w:line="240" w:lineRule="auto"/>
              <w:jc w:val="both"/>
              <w:rPr>
                <w:rFonts w:cs="Calibri"/>
                <w:bCs/>
                <w:color w:val="000000"/>
                <w:sz w:val="20"/>
                <w:szCs w:val="20"/>
                <w:lang w:eastAsia="pl-PL"/>
              </w:rPr>
            </w:pPr>
            <w:r w:rsidRPr="00981B1C">
              <w:rPr>
                <w:rFonts w:cs="Calibri"/>
                <w:bCs/>
                <w:color w:val="000000"/>
                <w:sz w:val="20"/>
                <w:szCs w:val="20"/>
                <w:lang w:eastAsia="pl-PL"/>
              </w:rPr>
              <w:t xml:space="preserve">W sumie w 16 regionach dostępna w ramach POPC alokacja umożliwi objęcie szerokopasmowym dostępem do sieci o przepustowości co najmniej 30 </w:t>
            </w:r>
            <w:proofErr w:type="spellStart"/>
            <w:r w:rsidRPr="00981B1C">
              <w:rPr>
                <w:rFonts w:cs="Calibri"/>
                <w:bCs/>
                <w:color w:val="000000"/>
                <w:sz w:val="20"/>
                <w:szCs w:val="20"/>
                <w:lang w:eastAsia="pl-PL"/>
              </w:rPr>
              <w:t>Mb</w:t>
            </w:r>
            <w:proofErr w:type="spellEnd"/>
            <w:r w:rsidRPr="00981B1C">
              <w:rPr>
                <w:rFonts w:cs="Calibri"/>
                <w:bCs/>
                <w:color w:val="000000"/>
                <w:sz w:val="20"/>
                <w:szCs w:val="20"/>
                <w:lang w:eastAsia="pl-PL"/>
              </w:rPr>
              <w:t xml:space="preserve">/s dla </w:t>
            </w:r>
            <w:r w:rsidR="005F0718">
              <w:rPr>
                <w:rFonts w:cs="Calibri"/>
                <w:bCs/>
                <w:color w:val="000000"/>
                <w:sz w:val="20"/>
                <w:szCs w:val="20"/>
                <w:lang w:eastAsia="pl-PL"/>
              </w:rPr>
              <w:t> </w:t>
            </w:r>
            <w:r w:rsidR="00870CF9">
              <w:rPr>
                <w:rFonts w:cs="Calibri"/>
                <w:bCs/>
                <w:color w:val="000000"/>
                <w:sz w:val="20"/>
                <w:szCs w:val="20"/>
                <w:lang w:eastAsia="pl-PL"/>
              </w:rPr>
              <w:t xml:space="preserve">726 518 </w:t>
            </w:r>
            <w:r w:rsidRPr="00981B1C">
              <w:rPr>
                <w:rFonts w:cs="Calibri"/>
                <w:bCs/>
                <w:color w:val="000000"/>
                <w:sz w:val="20"/>
                <w:szCs w:val="20"/>
                <w:lang w:eastAsia="pl-PL"/>
              </w:rPr>
              <w:t>gospodarstw domowych na najtrudniejszych inwestycyjnie obszarach w Polsce.</w:t>
            </w:r>
          </w:p>
          <w:p w:rsidR="00981B1C" w:rsidRPr="00981B1C" w:rsidRDefault="00981B1C" w:rsidP="00981B1C">
            <w:pPr>
              <w:spacing w:before="120" w:after="120" w:line="240" w:lineRule="auto"/>
              <w:jc w:val="both"/>
              <w:rPr>
                <w:sz w:val="20"/>
                <w:szCs w:val="20"/>
              </w:rPr>
            </w:pPr>
            <w:r w:rsidRPr="00981B1C">
              <w:rPr>
                <w:sz w:val="20"/>
                <w:szCs w:val="20"/>
              </w:rPr>
              <w:t xml:space="preserve">O ile szacowanie celów końcowych oparto na wspomnianej ekspertyzie </w:t>
            </w:r>
            <w:r w:rsidRPr="00981B1C">
              <w:rPr>
                <w:rFonts w:cs="Calibri"/>
                <w:bCs/>
                <w:color w:val="000000"/>
                <w:sz w:val="20"/>
                <w:szCs w:val="20"/>
                <w:lang w:eastAsia="pl-PL"/>
              </w:rPr>
              <w:t>dotyczącej budowy infrastruktury telekomunikacyjnej, to przy szacowaniu celów pośrednich</w:t>
            </w:r>
            <w:r w:rsidR="001359D5">
              <w:rPr>
                <w:rFonts w:cs="Calibri"/>
                <w:bCs/>
                <w:color w:val="000000"/>
                <w:sz w:val="20"/>
                <w:szCs w:val="20"/>
                <w:lang w:eastAsia="pl-PL"/>
              </w:rPr>
              <w:t xml:space="preserve"> (wskaźnik KEW)</w:t>
            </w:r>
            <w:r w:rsidRPr="00981B1C">
              <w:rPr>
                <w:rFonts w:cs="Calibri"/>
                <w:bCs/>
                <w:color w:val="000000"/>
                <w:sz w:val="20"/>
                <w:szCs w:val="20"/>
                <w:lang w:eastAsia="pl-PL"/>
              </w:rPr>
              <w:t xml:space="preserve"> analizie poddano projekty zbliżone do zakresu interwencji w osi </w:t>
            </w:r>
            <w:r w:rsidR="00264402">
              <w:rPr>
                <w:rFonts w:cs="Calibri"/>
                <w:bCs/>
                <w:color w:val="000000"/>
                <w:sz w:val="20"/>
                <w:szCs w:val="20"/>
                <w:lang w:eastAsia="pl-PL"/>
              </w:rPr>
              <w:t>I</w:t>
            </w:r>
            <w:r w:rsidR="00264402" w:rsidRPr="00981B1C">
              <w:rPr>
                <w:rFonts w:cs="Calibri"/>
                <w:bCs/>
                <w:color w:val="000000"/>
                <w:sz w:val="20"/>
                <w:szCs w:val="20"/>
                <w:lang w:eastAsia="pl-PL"/>
              </w:rPr>
              <w:t xml:space="preserve"> </w:t>
            </w:r>
            <w:r w:rsidRPr="00981B1C">
              <w:rPr>
                <w:rFonts w:cs="Calibri"/>
                <w:bCs/>
                <w:color w:val="000000"/>
                <w:sz w:val="20"/>
                <w:szCs w:val="20"/>
                <w:lang w:eastAsia="pl-PL"/>
              </w:rPr>
              <w:t>POPC, realizowane w perspektywie finansowej 2007-2013.</w:t>
            </w:r>
            <w:r w:rsidRPr="00981B1C">
              <w:rPr>
                <w:rFonts w:cs="Calibri"/>
                <w:bCs/>
                <w:i/>
                <w:color w:val="000000"/>
                <w:sz w:val="20"/>
                <w:szCs w:val="20"/>
                <w:lang w:eastAsia="pl-PL"/>
              </w:rPr>
              <w:t xml:space="preserve"> </w:t>
            </w:r>
            <w:r w:rsidRPr="00981B1C">
              <w:rPr>
                <w:sz w:val="20"/>
                <w:szCs w:val="20"/>
              </w:rPr>
              <w:t xml:space="preserve">Projekty współfinansowane ze środków UE na lata 2007-2013 dotyczące budowy sieci Internetu szerokopasmowego (tj. realizujące wskaźnik: </w:t>
            </w:r>
            <w:r w:rsidRPr="00981B1C">
              <w:rPr>
                <w:i/>
                <w:sz w:val="20"/>
                <w:szCs w:val="20"/>
              </w:rPr>
              <w:t>Długość wybudowanej sieci Internetu szerokopasmowego</w:t>
            </w:r>
            <w:r w:rsidRPr="00981B1C">
              <w:rPr>
                <w:sz w:val="20"/>
                <w:szCs w:val="20"/>
              </w:rPr>
              <w:t>) realizowane są w ramach 16 Regionalnych Programów Operacyjnych, Programie Operacyjnym Rozwój Polski Wschodniej oraz Programie Operacyjnym Innowacyjna Gospodarka.</w:t>
            </w:r>
          </w:p>
          <w:p w:rsidR="00981B1C" w:rsidRPr="00981B1C" w:rsidRDefault="00981B1C" w:rsidP="00981B1C">
            <w:pPr>
              <w:spacing w:before="120" w:after="120" w:line="240" w:lineRule="auto"/>
              <w:jc w:val="both"/>
              <w:rPr>
                <w:sz w:val="20"/>
                <w:szCs w:val="20"/>
              </w:rPr>
            </w:pPr>
            <w:r w:rsidRPr="00981B1C">
              <w:rPr>
                <w:sz w:val="20"/>
                <w:szCs w:val="20"/>
              </w:rPr>
              <w:t xml:space="preserve">Ponad połowę wartości projektów realizujących wskaźnik </w:t>
            </w:r>
            <w:r w:rsidRPr="00981B1C">
              <w:rPr>
                <w:i/>
                <w:sz w:val="20"/>
                <w:szCs w:val="20"/>
              </w:rPr>
              <w:t>Długość wybudowanej sieci Internetu szerokopasmowego</w:t>
            </w:r>
            <w:r w:rsidRPr="00981B1C">
              <w:rPr>
                <w:sz w:val="20"/>
                <w:szCs w:val="20"/>
              </w:rPr>
              <w:t xml:space="preserve"> przypada na 14 „dużych” projektów sieciowych, których wartość z EFRR wynosi 2 036,7 mln PLN. Wartość tych projektów to blisko połowa alokacji z EFRR dla POPC 2014-2020 na </w:t>
            </w:r>
            <w:r w:rsidR="00643A68">
              <w:rPr>
                <w:sz w:val="20"/>
                <w:szCs w:val="20"/>
              </w:rPr>
              <w:t>o</w:t>
            </w:r>
            <w:r w:rsidR="00643A68" w:rsidRPr="00981B1C">
              <w:rPr>
                <w:sz w:val="20"/>
                <w:szCs w:val="20"/>
              </w:rPr>
              <w:t xml:space="preserve">ś </w:t>
            </w:r>
            <w:r w:rsidR="00643A68">
              <w:rPr>
                <w:sz w:val="20"/>
                <w:szCs w:val="20"/>
              </w:rPr>
              <w:t>p</w:t>
            </w:r>
            <w:r w:rsidR="00643A68" w:rsidRPr="00981B1C">
              <w:rPr>
                <w:sz w:val="20"/>
                <w:szCs w:val="20"/>
              </w:rPr>
              <w:t xml:space="preserve">riorytetową </w:t>
            </w:r>
            <w:r w:rsidR="00643A68">
              <w:rPr>
                <w:sz w:val="20"/>
                <w:szCs w:val="20"/>
              </w:rPr>
              <w:t>I</w:t>
            </w:r>
            <w:r w:rsidRPr="00981B1C">
              <w:rPr>
                <w:sz w:val="20"/>
                <w:szCs w:val="20"/>
              </w:rPr>
              <w:t xml:space="preserve">. </w:t>
            </w:r>
          </w:p>
          <w:p w:rsidR="00981B1C" w:rsidRPr="00981B1C" w:rsidRDefault="00981B1C" w:rsidP="00981B1C">
            <w:pPr>
              <w:spacing w:before="120" w:after="120" w:line="240" w:lineRule="auto"/>
              <w:jc w:val="both"/>
              <w:rPr>
                <w:sz w:val="20"/>
                <w:szCs w:val="20"/>
              </w:rPr>
            </w:pPr>
            <w:r w:rsidRPr="00981B1C">
              <w:rPr>
                <w:sz w:val="20"/>
                <w:szCs w:val="20"/>
              </w:rPr>
              <w:t xml:space="preserve">W związku z faktem, że w ramach </w:t>
            </w:r>
            <w:r w:rsidR="00643A68">
              <w:rPr>
                <w:sz w:val="20"/>
                <w:szCs w:val="20"/>
              </w:rPr>
              <w:t>o</w:t>
            </w:r>
            <w:r w:rsidR="00643A68" w:rsidRPr="00981B1C">
              <w:rPr>
                <w:sz w:val="20"/>
                <w:szCs w:val="20"/>
              </w:rPr>
              <w:t xml:space="preserve">si </w:t>
            </w:r>
            <w:r w:rsidR="00643A68">
              <w:rPr>
                <w:sz w:val="20"/>
                <w:szCs w:val="20"/>
              </w:rPr>
              <w:t>p</w:t>
            </w:r>
            <w:r w:rsidR="00643A68" w:rsidRPr="00981B1C">
              <w:rPr>
                <w:sz w:val="20"/>
                <w:szCs w:val="20"/>
              </w:rPr>
              <w:t xml:space="preserve">riorytetowej </w:t>
            </w:r>
            <w:r w:rsidR="00643A68">
              <w:rPr>
                <w:sz w:val="20"/>
                <w:szCs w:val="20"/>
              </w:rPr>
              <w:t>I</w:t>
            </w:r>
            <w:r w:rsidR="00643A68" w:rsidRPr="00981B1C">
              <w:rPr>
                <w:sz w:val="20"/>
                <w:szCs w:val="20"/>
              </w:rPr>
              <w:t xml:space="preserve"> </w:t>
            </w:r>
            <w:r w:rsidRPr="00981B1C">
              <w:rPr>
                <w:sz w:val="20"/>
                <w:szCs w:val="20"/>
              </w:rPr>
              <w:t>POPC zakłada się realizację projektów o znacznej wartości, które swoim zasięgiem będą obejmowały kilkanaście gmin</w:t>
            </w:r>
            <w:r w:rsidR="008813A5">
              <w:rPr>
                <w:sz w:val="20"/>
                <w:szCs w:val="20"/>
              </w:rPr>
              <w:t>, a może nawet powiatów,</w:t>
            </w:r>
            <w:r w:rsidRPr="00981B1C">
              <w:rPr>
                <w:sz w:val="20"/>
                <w:szCs w:val="20"/>
              </w:rPr>
              <w:t xml:space="preserve"> w ramach kategorii od 6 do 11, przyjęto, że skala inwestycji poszczególnych projektów będzie zbliżona do największych projektów szerokopasmowych realizowanych w ramach programów perspektywy 2007-2013. </w:t>
            </w:r>
          </w:p>
          <w:p w:rsidR="00981B1C" w:rsidRPr="00981B1C" w:rsidRDefault="00981B1C" w:rsidP="00981B1C">
            <w:pPr>
              <w:spacing w:before="120" w:after="120" w:line="240" w:lineRule="auto"/>
              <w:jc w:val="both"/>
              <w:rPr>
                <w:sz w:val="20"/>
                <w:szCs w:val="20"/>
              </w:rPr>
            </w:pPr>
            <w:r w:rsidRPr="00981B1C">
              <w:rPr>
                <w:sz w:val="20"/>
                <w:szCs w:val="20"/>
              </w:rPr>
              <w:t xml:space="preserve">Analizując zatem dane dotyczące wdrażania projektów w ramach perspektywy 2007-2013 najbardziej odpowiadających zakresowi interwencji planowanej w </w:t>
            </w:r>
            <w:r w:rsidR="00643A68">
              <w:rPr>
                <w:sz w:val="20"/>
                <w:szCs w:val="20"/>
              </w:rPr>
              <w:t>o</w:t>
            </w:r>
            <w:r w:rsidR="00643A68" w:rsidRPr="00981B1C">
              <w:rPr>
                <w:sz w:val="20"/>
                <w:szCs w:val="20"/>
              </w:rPr>
              <w:t xml:space="preserve">si </w:t>
            </w:r>
            <w:r w:rsidR="00643A68">
              <w:rPr>
                <w:sz w:val="20"/>
                <w:szCs w:val="20"/>
              </w:rPr>
              <w:t>I</w:t>
            </w:r>
            <w:r w:rsidRPr="00981B1C">
              <w:rPr>
                <w:sz w:val="20"/>
                <w:szCs w:val="20"/>
              </w:rPr>
              <w:t xml:space="preserve">, należy zauważyć, że na koniec kwietnia 2014 r. wartość poniesionych wydatków wykazanych we wnioskach o płatność stanowi 5% zawartych umów. Istotny jest tu również średni okres realizacji powyższych projektów, który trwa ponad 5,5 roku. Przyjmując jednak za projekty najbardziej zbliżone do planowanych do realizacji w POPC - ze względu na formę prawną beneficjenta - projekty realizowane w RPO Województwa Lubuskiego i Pomorskiego, gdzie inwestycję realizują prywatni operatorzy telekomunikacyjni, którzy mają wybudować sieć szerokopasmową na obszarach wskazanych przez samorząd województwa, okres realizacji projektu wynosi około 3,5 roku, przy średnim okresie realizacji dla wszystkich projektów </w:t>
            </w:r>
            <w:r w:rsidR="00194A20">
              <w:rPr>
                <w:sz w:val="20"/>
                <w:szCs w:val="20"/>
              </w:rPr>
              <w:t>(nie tylko z kategorii interwencji nr 10</w:t>
            </w:r>
            <w:r w:rsidR="00ED7353">
              <w:rPr>
                <w:sz w:val="20"/>
                <w:szCs w:val="20"/>
              </w:rPr>
              <w:t xml:space="preserve"> </w:t>
            </w:r>
            <w:r w:rsidR="00FC6457">
              <w:rPr>
                <w:sz w:val="20"/>
                <w:szCs w:val="20"/>
              </w:rPr>
              <w:t xml:space="preserve">obejmującej </w:t>
            </w:r>
            <w:r w:rsidR="00ED7353">
              <w:rPr>
                <w:sz w:val="20"/>
                <w:szCs w:val="20"/>
              </w:rPr>
              <w:t>14 „dużych” projektów</w:t>
            </w:r>
            <w:r w:rsidR="00194A20">
              <w:rPr>
                <w:sz w:val="20"/>
                <w:szCs w:val="20"/>
              </w:rPr>
              <w:t xml:space="preserve">) </w:t>
            </w:r>
            <w:r w:rsidRPr="00981B1C">
              <w:rPr>
                <w:sz w:val="20"/>
                <w:szCs w:val="20"/>
              </w:rPr>
              <w:t>w ramach RPO i POPW trwającym poniżej 2 lat. Przyjmując jednocześnie, że proces</w:t>
            </w:r>
            <w:r w:rsidR="008D113D">
              <w:rPr>
                <w:sz w:val="20"/>
                <w:szCs w:val="20"/>
              </w:rPr>
              <w:t xml:space="preserve"> przygotowania rozporządzenia pomocowego </w:t>
            </w:r>
            <w:r w:rsidR="00901556">
              <w:rPr>
                <w:sz w:val="20"/>
                <w:szCs w:val="20"/>
              </w:rPr>
              <w:t xml:space="preserve">(choć nie można wykluczyć jego notyfikacji lub indywidualnej notyfikacji projektów) </w:t>
            </w:r>
            <w:r w:rsidR="008D113D">
              <w:rPr>
                <w:sz w:val="20"/>
                <w:szCs w:val="20"/>
              </w:rPr>
              <w:t>oraz</w:t>
            </w:r>
            <w:r w:rsidR="00901556">
              <w:rPr>
                <w:sz w:val="20"/>
                <w:szCs w:val="20"/>
              </w:rPr>
              <w:t xml:space="preserve"> na</w:t>
            </w:r>
            <w:r w:rsidR="008D113D">
              <w:rPr>
                <w:sz w:val="20"/>
                <w:szCs w:val="20"/>
              </w:rPr>
              <w:t>boru</w:t>
            </w:r>
            <w:r w:rsidR="00901556">
              <w:rPr>
                <w:sz w:val="20"/>
                <w:szCs w:val="20"/>
              </w:rPr>
              <w:t xml:space="preserve"> aż do podpisania umowy</w:t>
            </w:r>
            <w:r w:rsidR="008D113D">
              <w:rPr>
                <w:sz w:val="20"/>
                <w:szCs w:val="20"/>
              </w:rPr>
              <w:t xml:space="preserve"> może</w:t>
            </w:r>
            <w:r w:rsidRPr="00981B1C">
              <w:rPr>
                <w:sz w:val="20"/>
                <w:szCs w:val="20"/>
              </w:rPr>
              <w:t xml:space="preserve"> trwa</w:t>
            </w:r>
            <w:r w:rsidR="008D113D">
              <w:rPr>
                <w:sz w:val="20"/>
                <w:szCs w:val="20"/>
              </w:rPr>
              <w:t>ć</w:t>
            </w:r>
            <w:r w:rsidRPr="00981B1C">
              <w:rPr>
                <w:sz w:val="20"/>
                <w:szCs w:val="20"/>
              </w:rPr>
              <w:t xml:space="preserve"> od </w:t>
            </w:r>
            <w:r w:rsidR="00901556">
              <w:rPr>
                <w:sz w:val="20"/>
                <w:szCs w:val="20"/>
              </w:rPr>
              <w:t>14</w:t>
            </w:r>
            <w:r w:rsidRPr="00981B1C">
              <w:rPr>
                <w:sz w:val="20"/>
                <w:szCs w:val="20"/>
              </w:rPr>
              <w:t xml:space="preserve"> do </w:t>
            </w:r>
            <w:r w:rsidR="00901556">
              <w:rPr>
                <w:sz w:val="20"/>
                <w:szCs w:val="20"/>
              </w:rPr>
              <w:t>23</w:t>
            </w:r>
            <w:r w:rsidRPr="00981B1C">
              <w:rPr>
                <w:sz w:val="20"/>
                <w:szCs w:val="20"/>
              </w:rPr>
              <w:t xml:space="preserve"> m-</w:t>
            </w:r>
            <w:proofErr w:type="spellStart"/>
            <w:r w:rsidRPr="00981B1C">
              <w:rPr>
                <w:sz w:val="20"/>
                <w:szCs w:val="20"/>
              </w:rPr>
              <w:t>cy</w:t>
            </w:r>
            <w:proofErr w:type="spellEnd"/>
            <w:r w:rsidR="008D113D">
              <w:rPr>
                <w:sz w:val="20"/>
                <w:szCs w:val="20"/>
              </w:rPr>
              <w:t>,</w:t>
            </w:r>
            <w:r w:rsidRPr="00981B1C">
              <w:rPr>
                <w:sz w:val="20"/>
                <w:szCs w:val="20"/>
              </w:rPr>
              <w:t xml:space="preserve"> należy stwierdzić, że – biorąc pod uwagę doświadczenia perspektywy 07-13 - nie jest możliwe </w:t>
            </w:r>
            <w:r w:rsidR="008D113D">
              <w:rPr>
                <w:sz w:val="20"/>
                <w:szCs w:val="20"/>
              </w:rPr>
              <w:t xml:space="preserve">całkowite </w:t>
            </w:r>
            <w:r w:rsidRPr="00981B1C">
              <w:rPr>
                <w:sz w:val="20"/>
                <w:szCs w:val="20"/>
              </w:rPr>
              <w:t>sfinalizowanie operacji przed końcem 2018 r. i w związku z powyższym nie jest możliwe ich fizyczne zakończenie i zrealizowanie wartości wskaźnika wprowadzonego do ram wykonania. Do końca 2018 roku nie przewiduje się zakończenia jakiegokolwiek projektu w ramach osi priorytetowej 1. Stąd konieczne jest wprowadzenie do ram wykonania Kluczowego Etapu Wdrażania, w jak największym stopniu oddającego możliwość osiągnięcia przyjętej wartości wskaźnika</w:t>
            </w:r>
            <w:r w:rsidR="00ED7353">
              <w:rPr>
                <w:sz w:val="20"/>
                <w:szCs w:val="20"/>
              </w:rPr>
              <w:t xml:space="preserve"> produktu:</w:t>
            </w:r>
            <w:r w:rsidRPr="00981B1C">
              <w:rPr>
                <w:sz w:val="20"/>
                <w:szCs w:val="20"/>
              </w:rPr>
              <w:t xml:space="preserve"> </w:t>
            </w:r>
            <w:r w:rsidRPr="00981B1C">
              <w:rPr>
                <w:i/>
                <w:sz w:val="20"/>
                <w:szCs w:val="20"/>
              </w:rPr>
              <w:t xml:space="preserve">Dodatkowe gospodarstwa domowe objęte szerokopasmowym dostępem do sieci o przepustowości co najmniej 30 </w:t>
            </w:r>
            <w:proofErr w:type="spellStart"/>
            <w:r w:rsidRPr="00981B1C">
              <w:rPr>
                <w:i/>
                <w:sz w:val="20"/>
                <w:szCs w:val="20"/>
              </w:rPr>
              <w:t>Mb</w:t>
            </w:r>
            <w:proofErr w:type="spellEnd"/>
            <w:r w:rsidRPr="00981B1C">
              <w:rPr>
                <w:i/>
                <w:sz w:val="20"/>
                <w:szCs w:val="20"/>
              </w:rPr>
              <w:t>/s</w:t>
            </w:r>
            <w:r w:rsidRPr="00981B1C">
              <w:rPr>
                <w:sz w:val="20"/>
                <w:szCs w:val="20"/>
              </w:rPr>
              <w:t xml:space="preserve"> na koniec 2023 roku.</w:t>
            </w:r>
          </w:p>
          <w:p w:rsidR="00981B1C" w:rsidRPr="00981B1C" w:rsidRDefault="00981B1C" w:rsidP="00981B1C">
            <w:pPr>
              <w:autoSpaceDE w:val="0"/>
              <w:autoSpaceDN w:val="0"/>
              <w:adjustRightInd w:val="0"/>
              <w:spacing w:before="120" w:after="120" w:line="240" w:lineRule="auto"/>
              <w:jc w:val="both"/>
              <w:rPr>
                <w:rFonts w:cs="Calibri"/>
                <w:bCs/>
                <w:sz w:val="20"/>
                <w:szCs w:val="20"/>
                <w:lang w:eastAsia="pl-PL"/>
              </w:rPr>
            </w:pPr>
            <w:r w:rsidRPr="00981B1C">
              <w:rPr>
                <w:sz w:val="20"/>
                <w:szCs w:val="20"/>
              </w:rPr>
              <w:t xml:space="preserve">Biorąc pod uwagę długi okres realizacji takich projektów kluczowe jest odpowiednio szybkie i sprawne zorganizowanie naborów i możliwie szybkie zawarcie umów o dofinansowanie projektów w </w:t>
            </w:r>
            <w:r w:rsidR="00643A68">
              <w:rPr>
                <w:sz w:val="20"/>
                <w:szCs w:val="20"/>
              </w:rPr>
              <w:t>o</w:t>
            </w:r>
            <w:r w:rsidR="00643A68" w:rsidRPr="00981B1C">
              <w:rPr>
                <w:sz w:val="20"/>
                <w:szCs w:val="20"/>
              </w:rPr>
              <w:t xml:space="preserve">si </w:t>
            </w:r>
            <w:r w:rsidR="00643A68">
              <w:rPr>
                <w:sz w:val="20"/>
                <w:szCs w:val="20"/>
              </w:rPr>
              <w:t>I</w:t>
            </w:r>
            <w:r w:rsidRPr="00981B1C">
              <w:rPr>
                <w:sz w:val="20"/>
                <w:szCs w:val="20"/>
              </w:rPr>
              <w:t xml:space="preserve">, a więc jak najpełniejsze zakontraktowanie środków dla umów, których założone wartości wybranego wskaźnika dla </w:t>
            </w:r>
            <w:r w:rsidRPr="00981B1C">
              <w:rPr>
                <w:sz w:val="20"/>
                <w:szCs w:val="20"/>
              </w:rPr>
              <w:lastRenderedPageBreak/>
              <w:t xml:space="preserve">każdego z regionów osiągną (proporcjonalnie do poziomu kontraktacji) poziom docelowy. Wskaźnik </w:t>
            </w:r>
            <w:r w:rsidRPr="00981B1C">
              <w:rPr>
                <w:rFonts w:cs="Calibri"/>
                <w:bCs/>
                <w:i/>
                <w:sz w:val="20"/>
                <w:szCs w:val="20"/>
                <w:lang w:eastAsia="pl-PL"/>
              </w:rPr>
              <w:t xml:space="preserve">Dodatkowe gospodarstwa domowe objęte szerokopasmowym dostępem do sieci o przepustowości co najmniej 30 </w:t>
            </w:r>
            <w:proofErr w:type="spellStart"/>
            <w:r w:rsidRPr="00981B1C">
              <w:rPr>
                <w:rFonts w:cs="Calibri"/>
                <w:bCs/>
                <w:i/>
                <w:sz w:val="20"/>
                <w:szCs w:val="20"/>
                <w:lang w:eastAsia="pl-PL"/>
              </w:rPr>
              <w:t>Mb</w:t>
            </w:r>
            <w:proofErr w:type="spellEnd"/>
            <w:r w:rsidRPr="00981B1C">
              <w:rPr>
                <w:rFonts w:cs="Calibri"/>
                <w:bCs/>
                <w:i/>
                <w:sz w:val="20"/>
                <w:szCs w:val="20"/>
                <w:lang w:eastAsia="pl-PL"/>
              </w:rPr>
              <w:t xml:space="preserve">/s </w:t>
            </w:r>
            <w:r w:rsidRPr="00981B1C">
              <w:rPr>
                <w:rFonts w:cs="Calibri"/>
                <w:bCs/>
                <w:sz w:val="20"/>
                <w:szCs w:val="20"/>
                <w:lang w:eastAsia="pl-PL"/>
              </w:rPr>
              <w:t xml:space="preserve">z poziomu zawartych umów o dofinansowanie projektów ma bezpośrednie przełożenie na realizację inwestycji i osiągnięcie założonych wskaźników na zakończenie realizacji projektu. </w:t>
            </w:r>
            <w:r w:rsidRPr="00981B1C">
              <w:rPr>
                <w:sz w:val="20"/>
                <w:szCs w:val="20"/>
              </w:rPr>
              <w:t xml:space="preserve">Przyjęto, że zakontraktowanie środków </w:t>
            </w:r>
            <w:r w:rsidRPr="00981B1C">
              <w:rPr>
                <w:rFonts w:cs="Calibri"/>
                <w:bCs/>
                <w:sz w:val="20"/>
                <w:szCs w:val="20"/>
                <w:lang w:eastAsia="pl-PL"/>
              </w:rPr>
              <w:t xml:space="preserve">w ramach osi 1 do końca 2018 r. powinno wynieść 70% alokacji. Wartość docelowa przyjęta w zawartych umowach o dofinansowanie projektów podpisanych do końca 2018 roku, wskazana jako Kluczowe Etapy Wdrażania, powinna osiągnąć zatem dla województwa mazowieckiego </w:t>
            </w:r>
            <w:r w:rsidR="001A71C7">
              <w:rPr>
                <w:rFonts w:cs="Calibri"/>
                <w:bCs/>
                <w:sz w:val="20"/>
                <w:szCs w:val="20"/>
                <w:lang w:eastAsia="pl-PL"/>
              </w:rPr>
              <w:t>3</w:t>
            </w:r>
            <w:r w:rsidR="00B678D0">
              <w:rPr>
                <w:rFonts w:cs="Calibri"/>
                <w:bCs/>
                <w:sz w:val="20"/>
                <w:szCs w:val="20"/>
                <w:lang w:eastAsia="pl-PL"/>
              </w:rPr>
              <w:t>2</w:t>
            </w:r>
            <w:r w:rsidR="001A71C7">
              <w:rPr>
                <w:rFonts w:cs="Calibri"/>
                <w:bCs/>
                <w:sz w:val="20"/>
                <w:szCs w:val="20"/>
                <w:lang w:eastAsia="pl-PL"/>
              </w:rPr>
              <w:t xml:space="preserve"> </w:t>
            </w:r>
            <w:r w:rsidR="00B678D0">
              <w:rPr>
                <w:rFonts w:cs="Calibri"/>
                <w:bCs/>
                <w:sz w:val="20"/>
                <w:szCs w:val="20"/>
                <w:lang w:eastAsia="pl-PL"/>
              </w:rPr>
              <w:t>785</w:t>
            </w:r>
            <w:r w:rsidR="00815947" w:rsidRPr="00981B1C">
              <w:rPr>
                <w:rFonts w:cs="Calibri"/>
                <w:bCs/>
                <w:sz w:val="20"/>
                <w:szCs w:val="20"/>
                <w:lang w:eastAsia="pl-PL"/>
              </w:rPr>
              <w:t xml:space="preserve"> </w:t>
            </w:r>
            <w:r w:rsidRPr="00981B1C">
              <w:rPr>
                <w:rFonts w:cs="Calibri"/>
                <w:bCs/>
                <w:sz w:val="20"/>
                <w:szCs w:val="20"/>
                <w:lang w:eastAsia="pl-PL"/>
              </w:rPr>
              <w:t>gospodarstw domowych (</w:t>
            </w:r>
            <w:r w:rsidR="00B678D0">
              <w:rPr>
                <w:rFonts w:cs="Calibri"/>
                <w:bCs/>
                <w:color w:val="000000"/>
                <w:sz w:val="20"/>
                <w:szCs w:val="20"/>
                <w:lang w:eastAsia="pl-PL"/>
              </w:rPr>
              <w:t>46 835</w:t>
            </w:r>
            <w:r w:rsidR="00B678D0" w:rsidRPr="00981B1C">
              <w:rPr>
                <w:rFonts w:cs="Calibri"/>
                <w:bCs/>
                <w:sz w:val="20"/>
                <w:szCs w:val="20"/>
                <w:lang w:eastAsia="pl-PL"/>
              </w:rPr>
              <w:t xml:space="preserve"> </w:t>
            </w:r>
            <w:r w:rsidRPr="00981B1C">
              <w:rPr>
                <w:rFonts w:cs="Calibri"/>
                <w:bCs/>
                <w:sz w:val="20"/>
                <w:szCs w:val="20"/>
                <w:lang w:eastAsia="pl-PL"/>
              </w:rPr>
              <w:t xml:space="preserve">x 70%), a dla regionów słabiej rozwiniętych </w:t>
            </w:r>
            <w:r w:rsidR="00B678D0">
              <w:rPr>
                <w:rFonts w:cs="Calibri"/>
                <w:bCs/>
                <w:sz w:val="20"/>
                <w:szCs w:val="20"/>
                <w:lang w:eastAsia="pl-PL"/>
              </w:rPr>
              <w:t>475 777</w:t>
            </w:r>
            <w:r w:rsidR="00B678D0" w:rsidRPr="00981B1C">
              <w:rPr>
                <w:rFonts w:cs="Calibri"/>
                <w:bCs/>
                <w:sz w:val="20"/>
                <w:szCs w:val="20"/>
                <w:lang w:eastAsia="pl-PL"/>
              </w:rPr>
              <w:t xml:space="preserve"> </w:t>
            </w:r>
            <w:r w:rsidRPr="00981B1C">
              <w:rPr>
                <w:rFonts w:cs="Calibri"/>
                <w:bCs/>
                <w:sz w:val="20"/>
                <w:szCs w:val="20"/>
                <w:lang w:eastAsia="pl-PL"/>
              </w:rPr>
              <w:t>gospodarstw domowych (</w:t>
            </w:r>
            <w:r w:rsidR="00B678D0">
              <w:rPr>
                <w:rFonts w:cs="Calibri"/>
                <w:bCs/>
                <w:color w:val="000000"/>
                <w:sz w:val="20"/>
                <w:szCs w:val="20"/>
                <w:lang w:eastAsia="pl-PL"/>
              </w:rPr>
              <w:t>679 682</w:t>
            </w:r>
            <w:r w:rsidR="00815947" w:rsidRPr="00981B1C">
              <w:rPr>
                <w:rFonts w:cs="Calibri"/>
                <w:bCs/>
                <w:sz w:val="20"/>
                <w:szCs w:val="20"/>
                <w:lang w:eastAsia="pl-PL"/>
              </w:rPr>
              <w:t xml:space="preserve"> </w:t>
            </w:r>
            <w:r w:rsidRPr="00981B1C">
              <w:rPr>
                <w:rFonts w:cs="Calibri"/>
                <w:bCs/>
                <w:sz w:val="20"/>
                <w:szCs w:val="20"/>
                <w:lang w:eastAsia="pl-PL"/>
              </w:rPr>
              <w:t>x 70%).</w:t>
            </w:r>
          </w:p>
          <w:p w:rsidR="00981B1C" w:rsidRPr="00981B1C" w:rsidRDefault="00981B1C" w:rsidP="00981B1C">
            <w:pPr>
              <w:autoSpaceDE w:val="0"/>
              <w:autoSpaceDN w:val="0"/>
              <w:adjustRightInd w:val="0"/>
              <w:spacing w:after="0" w:line="240" w:lineRule="auto"/>
              <w:jc w:val="both"/>
              <w:rPr>
                <w:rFonts w:ascii="Helv" w:hAnsi="Helv" w:cs="Helv"/>
                <w:color w:val="000000"/>
                <w:sz w:val="20"/>
                <w:szCs w:val="20"/>
                <w:lang w:eastAsia="pl-PL"/>
              </w:rPr>
            </w:pPr>
            <w:r w:rsidRPr="00981B1C">
              <w:rPr>
                <w:rFonts w:cs="Calibri"/>
                <w:bCs/>
                <w:color w:val="000000"/>
                <w:sz w:val="20"/>
                <w:szCs w:val="20"/>
                <w:lang w:eastAsia="pl-PL"/>
              </w:rPr>
              <w:t>Szacując wskaźnik finansowy wprowadzony do ram wykonania</w:t>
            </w:r>
            <w:r w:rsidR="000D5883">
              <w:rPr>
                <w:rStyle w:val="Odwoanieprzypisudolnego"/>
                <w:rFonts w:cs="Calibri"/>
                <w:bCs/>
                <w:color w:val="000000"/>
                <w:sz w:val="20"/>
                <w:szCs w:val="20"/>
                <w:lang w:eastAsia="pl-PL"/>
              </w:rPr>
              <w:footnoteReference w:id="11"/>
            </w:r>
            <w:r w:rsidRPr="00981B1C">
              <w:rPr>
                <w:rFonts w:cs="Calibri"/>
                <w:bCs/>
                <w:color w:val="000000"/>
                <w:sz w:val="20"/>
                <w:szCs w:val="20"/>
                <w:lang w:eastAsia="pl-PL"/>
              </w:rPr>
              <w:t xml:space="preserve">, dokonano analizy tempa wydatkowania środków w ramach 14 największych projektów szerokopasmowych realizowanych w ramach perspektywy finansowej 2014-2020. Należy zwrócić uwagę, że w początkowym etapie wdrażania odnotowano wydatki na bardzo niskim poziomie, co jest wynikiem złożonego procesu realizacji tego typu interwencji. Pierwsze wydatki wykazane we wnioskach o płatność odnotowano w 2011 roku, przy czym ich wartość była na minimalnym poziomie tj. 1,9 mln PLN, a w 2012 wydatki wyniosły 7,0 mln PLN. Szybsze tempo odnotowano dopiero w 2013, gdzie wydatki kwalifikowalne we wnioskach o płatność wyniosły 76,7 mln PLN oraz w roku 2014 gdzie do maja wartość była równa 114,3 mln PLN. Ze </w:t>
            </w:r>
            <w:r w:rsidR="00F05B47" w:rsidRPr="00981B1C">
              <w:rPr>
                <w:rFonts w:cs="Calibri"/>
                <w:bCs/>
                <w:color w:val="000000"/>
                <w:sz w:val="20"/>
                <w:szCs w:val="20"/>
                <w:lang w:eastAsia="pl-PL"/>
              </w:rPr>
              <w:t>wzgl</w:t>
            </w:r>
            <w:r w:rsidR="00F05B47">
              <w:rPr>
                <w:rFonts w:cs="Calibri"/>
                <w:bCs/>
                <w:color w:val="000000"/>
                <w:sz w:val="20"/>
                <w:szCs w:val="20"/>
                <w:lang w:eastAsia="pl-PL"/>
              </w:rPr>
              <w:t>ę</w:t>
            </w:r>
            <w:r w:rsidR="00F05B47" w:rsidRPr="00981B1C">
              <w:rPr>
                <w:rFonts w:cs="Calibri"/>
                <w:bCs/>
                <w:color w:val="000000"/>
                <w:sz w:val="20"/>
                <w:szCs w:val="20"/>
                <w:lang w:eastAsia="pl-PL"/>
              </w:rPr>
              <w:t xml:space="preserve">du </w:t>
            </w:r>
            <w:r w:rsidRPr="00981B1C">
              <w:rPr>
                <w:rFonts w:cs="Calibri"/>
                <w:bCs/>
                <w:color w:val="000000"/>
                <w:sz w:val="20"/>
                <w:szCs w:val="20"/>
                <w:lang w:eastAsia="pl-PL"/>
              </w:rPr>
              <w:t xml:space="preserve">na obostrzenia wynikające z zasady automatycznego anulowania zobowiązań, przy szacowaniu wartości pośredniej i końcowej, wartości wynikające z analizy historycznego tempa przepływu środków skorygowano, biorąc pod uwagę konieczność wywiązania się z zasady N+3, która, mimo że dotyczy wydatkowania na poziomie Programu, to w wyniku alokowania niemal połowy środków z Programu na oś </w:t>
            </w:r>
            <w:r w:rsidR="00264402">
              <w:rPr>
                <w:rFonts w:cs="Calibri"/>
                <w:bCs/>
                <w:color w:val="000000"/>
                <w:sz w:val="20"/>
                <w:szCs w:val="20"/>
                <w:lang w:eastAsia="pl-PL"/>
              </w:rPr>
              <w:t>I</w:t>
            </w:r>
            <w:r w:rsidRPr="00981B1C">
              <w:rPr>
                <w:rFonts w:cs="Calibri"/>
                <w:bCs/>
                <w:color w:val="000000"/>
                <w:sz w:val="20"/>
                <w:szCs w:val="20"/>
                <w:lang w:eastAsia="pl-PL"/>
              </w:rPr>
              <w:t>, musi mieć również odpowiednie odzwierciedlenie w wartości wydatkowanych środków w tej osi. Wprowadzone zatem cele pośrednie do ram wykonania zakładają w efekcie szybsze tempo wydatkowania środków niż w projektach szerokopasmowych w perspektywie 2007-2013, co wynika z wyboru modelu interwencji usprawniającego tempo realizacji projektów i wydatkowania środków. Zakłada się, że przyjęty model wpłynie na tempo wydatkowania środków głównie dzięki poniższym czynnikom:</w:t>
            </w:r>
            <w:r w:rsidRPr="00981B1C">
              <w:rPr>
                <w:rFonts w:ascii="Helv" w:hAnsi="Helv" w:cs="Helv"/>
                <w:color w:val="000000"/>
                <w:sz w:val="20"/>
                <w:szCs w:val="20"/>
                <w:lang w:eastAsia="pl-PL"/>
              </w:rPr>
              <w:t xml:space="preserve"> </w:t>
            </w:r>
          </w:p>
          <w:p w:rsidR="00981B1C" w:rsidRPr="00981B1C" w:rsidRDefault="00981B1C" w:rsidP="00981B1C">
            <w:pPr>
              <w:numPr>
                <w:ilvl w:val="0"/>
                <w:numId w:val="13"/>
              </w:numPr>
              <w:autoSpaceDE w:val="0"/>
              <w:autoSpaceDN w:val="0"/>
              <w:adjustRightInd w:val="0"/>
              <w:spacing w:after="0" w:line="240" w:lineRule="auto"/>
              <w:jc w:val="both"/>
              <w:rPr>
                <w:rFonts w:cs="Calibri"/>
                <w:bCs/>
                <w:color w:val="000000"/>
                <w:sz w:val="20"/>
                <w:szCs w:val="20"/>
                <w:lang w:eastAsia="pl-PL"/>
              </w:rPr>
            </w:pPr>
            <w:r w:rsidRPr="00981B1C">
              <w:rPr>
                <w:rFonts w:cs="Calibri"/>
                <w:bCs/>
                <w:color w:val="000000"/>
                <w:sz w:val="20"/>
                <w:szCs w:val="20"/>
                <w:lang w:eastAsia="pl-PL"/>
              </w:rPr>
              <w:t>beneficjentami będą głównie (lub wyłącznie) przedsiębiorcy telekomunikacyjni, co skróci czas przygotowania i realizacji projektu,</w:t>
            </w:r>
          </w:p>
          <w:p w:rsidR="00981B1C" w:rsidRPr="00981B1C" w:rsidRDefault="00981B1C" w:rsidP="00981B1C">
            <w:pPr>
              <w:numPr>
                <w:ilvl w:val="0"/>
                <w:numId w:val="13"/>
              </w:numPr>
              <w:autoSpaceDE w:val="0"/>
              <w:autoSpaceDN w:val="0"/>
              <w:adjustRightInd w:val="0"/>
              <w:spacing w:after="0" w:line="240" w:lineRule="auto"/>
              <w:jc w:val="both"/>
              <w:rPr>
                <w:rFonts w:cs="Calibri"/>
                <w:bCs/>
                <w:color w:val="000000"/>
                <w:sz w:val="20"/>
                <w:szCs w:val="20"/>
                <w:lang w:eastAsia="pl-PL"/>
              </w:rPr>
            </w:pPr>
            <w:r w:rsidRPr="00981B1C">
              <w:rPr>
                <w:rFonts w:cs="Calibri"/>
                <w:bCs/>
                <w:color w:val="000000"/>
                <w:sz w:val="20"/>
                <w:szCs w:val="20"/>
                <w:lang w:eastAsia="pl-PL"/>
              </w:rPr>
              <w:t>przyjęcie jednego programu pomocowego, co wykluczy indywidualne notyfikacje projektów i przyspieszy ich realizację,</w:t>
            </w:r>
          </w:p>
          <w:p w:rsidR="00981B1C" w:rsidRPr="00981B1C" w:rsidRDefault="00981B1C" w:rsidP="00981B1C">
            <w:pPr>
              <w:numPr>
                <w:ilvl w:val="0"/>
                <w:numId w:val="13"/>
              </w:numPr>
              <w:autoSpaceDE w:val="0"/>
              <w:autoSpaceDN w:val="0"/>
              <w:adjustRightInd w:val="0"/>
              <w:spacing w:after="0" w:line="240" w:lineRule="auto"/>
              <w:jc w:val="both"/>
              <w:rPr>
                <w:rFonts w:cs="Calibri"/>
                <w:bCs/>
                <w:color w:val="000000"/>
                <w:sz w:val="20"/>
                <w:szCs w:val="20"/>
                <w:lang w:eastAsia="pl-PL"/>
              </w:rPr>
            </w:pPr>
            <w:r w:rsidRPr="00981B1C">
              <w:rPr>
                <w:rFonts w:cs="Calibri"/>
                <w:bCs/>
                <w:color w:val="000000"/>
                <w:sz w:val="20"/>
                <w:szCs w:val="20"/>
                <w:lang w:eastAsia="pl-PL"/>
              </w:rPr>
              <w:t>realizowanie projektów sieci szerokopasmowych w ramach jednego programu operacyjnego, co ujednolici i przyspieszy proces wdrażania.</w:t>
            </w:r>
          </w:p>
          <w:p w:rsidR="00981B1C" w:rsidRPr="000142BF" w:rsidRDefault="00981B1C" w:rsidP="00802715">
            <w:pPr>
              <w:autoSpaceDE w:val="0"/>
              <w:autoSpaceDN w:val="0"/>
              <w:adjustRightInd w:val="0"/>
              <w:spacing w:after="0" w:line="240" w:lineRule="auto"/>
              <w:jc w:val="both"/>
              <w:rPr>
                <w:rFonts w:cs="Calibri"/>
                <w:bCs/>
                <w:color w:val="000000"/>
                <w:sz w:val="20"/>
                <w:szCs w:val="20"/>
                <w:lang w:eastAsia="pl-PL"/>
              </w:rPr>
            </w:pPr>
            <w:r w:rsidRPr="00981B1C">
              <w:rPr>
                <w:rFonts w:cs="Calibri"/>
                <w:bCs/>
                <w:color w:val="000000"/>
                <w:sz w:val="20"/>
                <w:szCs w:val="20"/>
                <w:lang w:eastAsia="pl-PL"/>
              </w:rPr>
              <w:t xml:space="preserve">Ze specyfiki projektów wynika jednak, że większość wydatków poniesiona zostanie w drugiej połowie perspektywy finansowej, przy największej kumulacji w ostatnim okresie realizacji Programu. W oparciu o powyższe przesłanki ustalono wartość certyfikowanych wydatków kwalifikowalnych na koniec roku </w:t>
            </w:r>
            <w:r w:rsidR="007672E8">
              <w:rPr>
                <w:rFonts w:cs="Calibri"/>
                <w:bCs/>
                <w:color w:val="000000"/>
                <w:sz w:val="20"/>
                <w:szCs w:val="20"/>
                <w:lang w:eastAsia="pl-PL"/>
              </w:rPr>
              <w:t>2018</w:t>
            </w:r>
            <w:r w:rsidR="001F0EEE">
              <w:rPr>
                <w:rFonts w:cs="Calibri"/>
                <w:bCs/>
                <w:color w:val="000000"/>
                <w:sz w:val="20"/>
                <w:szCs w:val="20"/>
                <w:lang w:eastAsia="pl-PL"/>
              </w:rPr>
              <w:t xml:space="preserve"> </w:t>
            </w:r>
            <w:r w:rsidR="007672E8">
              <w:rPr>
                <w:rFonts w:cs="Calibri"/>
                <w:bCs/>
                <w:color w:val="000000"/>
                <w:sz w:val="20"/>
                <w:szCs w:val="20"/>
                <w:lang w:eastAsia="pl-PL"/>
              </w:rPr>
              <w:t>na poziomie 16,4%</w:t>
            </w:r>
            <w:r w:rsidR="007672E8">
              <w:t xml:space="preserve"> </w:t>
            </w:r>
            <w:r w:rsidR="007672E8" w:rsidRPr="007672E8">
              <w:rPr>
                <w:rFonts w:cs="Calibri"/>
                <w:bCs/>
                <w:color w:val="000000"/>
                <w:sz w:val="20"/>
                <w:szCs w:val="20"/>
                <w:lang w:eastAsia="pl-PL"/>
              </w:rPr>
              <w:t>całkowitych wydatków kwalifikowalnych</w:t>
            </w:r>
            <w:r w:rsidR="007672E8">
              <w:rPr>
                <w:rFonts w:cs="Calibri"/>
                <w:bCs/>
                <w:color w:val="000000"/>
                <w:sz w:val="20"/>
                <w:szCs w:val="20"/>
                <w:lang w:eastAsia="pl-PL"/>
              </w:rPr>
              <w:t xml:space="preserve">, a na </w:t>
            </w:r>
            <w:r w:rsidRPr="00981B1C">
              <w:rPr>
                <w:rFonts w:cs="Calibri"/>
                <w:bCs/>
                <w:color w:val="000000"/>
                <w:sz w:val="20"/>
                <w:szCs w:val="20"/>
                <w:lang w:eastAsia="pl-PL"/>
              </w:rPr>
              <w:t>2023</w:t>
            </w:r>
            <w:r w:rsidR="001F0EEE">
              <w:rPr>
                <w:rFonts w:cs="Calibri"/>
                <w:bCs/>
                <w:color w:val="000000"/>
                <w:sz w:val="20"/>
                <w:szCs w:val="20"/>
                <w:lang w:eastAsia="pl-PL"/>
              </w:rPr>
              <w:t xml:space="preserve"> r.</w:t>
            </w:r>
            <w:r w:rsidRPr="00981B1C">
              <w:rPr>
                <w:rFonts w:cs="Calibri"/>
                <w:bCs/>
                <w:color w:val="000000"/>
                <w:sz w:val="20"/>
                <w:szCs w:val="20"/>
                <w:lang w:eastAsia="pl-PL"/>
              </w:rPr>
              <w:t xml:space="preserve"> na poziomie </w:t>
            </w:r>
            <w:r w:rsidR="001F0EEE">
              <w:rPr>
                <w:rFonts w:cs="Calibri"/>
                <w:bCs/>
                <w:color w:val="000000"/>
                <w:sz w:val="20"/>
                <w:szCs w:val="20"/>
                <w:lang w:eastAsia="pl-PL"/>
              </w:rPr>
              <w:t>100</w:t>
            </w:r>
            <w:r w:rsidRPr="00981B1C">
              <w:rPr>
                <w:rFonts w:cs="Calibri"/>
                <w:bCs/>
                <w:color w:val="000000"/>
                <w:sz w:val="20"/>
                <w:szCs w:val="20"/>
                <w:lang w:eastAsia="pl-PL"/>
              </w:rPr>
              <w:t xml:space="preserve">% całkowitych wydatków kwalifikowalnych, przy czym </w:t>
            </w:r>
            <w:r w:rsidR="001F0EEE">
              <w:rPr>
                <w:rFonts w:cs="Calibri"/>
                <w:bCs/>
                <w:color w:val="000000"/>
                <w:sz w:val="20"/>
                <w:szCs w:val="20"/>
                <w:lang w:eastAsia="pl-PL"/>
              </w:rPr>
              <w:t>o</w:t>
            </w:r>
            <w:r w:rsidR="001F0EEE" w:rsidRPr="00242C62">
              <w:rPr>
                <w:sz w:val="20"/>
                <w:szCs w:val="20"/>
              </w:rPr>
              <w:t>cena realizacji wartości końcowej dla wskaźnika finansowego będzie uwzględniała również wydatki certyfikowane po 2023 r.</w:t>
            </w:r>
            <w:r w:rsidR="001F0EEE">
              <w:rPr>
                <w:sz w:val="20"/>
                <w:szCs w:val="20"/>
              </w:rPr>
              <w:t xml:space="preserve"> </w:t>
            </w:r>
          </w:p>
        </w:tc>
      </w:tr>
    </w:tbl>
    <w:p w:rsidR="00981B1C" w:rsidRDefault="00981B1C" w:rsidP="0043575D">
      <w:pPr>
        <w:spacing w:before="120" w:after="120"/>
        <w:ind w:left="360"/>
        <w:contextualSpacing/>
        <w:jc w:val="both"/>
        <w:rPr>
          <w:sz w:val="20"/>
          <w:szCs w:val="20"/>
        </w:rPr>
      </w:pPr>
    </w:p>
    <w:p w:rsidR="00426262" w:rsidRPr="00597BF5" w:rsidRDefault="00426262" w:rsidP="00426262">
      <w:pPr>
        <w:numPr>
          <w:ilvl w:val="0"/>
          <w:numId w:val="1"/>
        </w:numPr>
        <w:spacing w:before="120" w:after="120"/>
        <w:contextualSpacing/>
        <w:jc w:val="both"/>
        <w:rPr>
          <w:sz w:val="20"/>
          <w:szCs w:val="20"/>
        </w:rPr>
      </w:pPr>
      <w:r w:rsidRPr="00597BF5">
        <w:rPr>
          <w:sz w:val="20"/>
          <w:szCs w:val="20"/>
        </w:rPr>
        <w:t>informacje o tym, jaka część alokacji finansowej dotyczy projektów, którym odpowiadają wskaźniki produktu i kluczowe etapy wdrażania określone w ramach wykonania, oraz wyjaśnienie sposobu obliczenia tej części:</w:t>
      </w:r>
    </w:p>
    <w:p w:rsidR="0081401D" w:rsidRPr="00CA21F3" w:rsidRDefault="0081401D" w:rsidP="00597BF5">
      <w:pPr>
        <w:spacing w:after="0" w:line="240" w:lineRule="auto"/>
        <w:jc w:val="both"/>
        <w:rPr>
          <w:rFonts w:cs="Calibri"/>
          <w:b/>
          <w:bCs/>
          <w:i/>
          <w:color w:val="1F497D"/>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3575D" w:rsidRPr="00CC3C1B" w:rsidTr="00977ACF">
        <w:tc>
          <w:tcPr>
            <w:tcW w:w="9212" w:type="dxa"/>
            <w:shd w:val="clear" w:color="auto" w:fill="auto"/>
          </w:tcPr>
          <w:p w:rsidR="00236634" w:rsidRPr="000142BF" w:rsidRDefault="00236634" w:rsidP="00264402">
            <w:pPr>
              <w:autoSpaceDE w:val="0"/>
              <w:autoSpaceDN w:val="0"/>
              <w:adjustRightInd w:val="0"/>
              <w:spacing w:after="0" w:line="240" w:lineRule="auto"/>
              <w:jc w:val="both"/>
              <w:rPr>
                <w:rFonts w:cs="Calibri"/>
                <w:bCs/>
                <w:color w:val="000000"/>
                <w:sz w:val="20"/>
                <w:szCs w:val="20"/>
                <w:lang w:eastAsia="pl-PL"/>
              </w:rPr>
            </w:pPr>
            <w:r w:rsidRPr="00CC3C1B">
              <w:rPr>
                <w:rFonts w:cs="Calibri"/>
                <w:bCs/>
                <w:color w:val="000000"/>
                <w:sz w:val="20"/>
                <w:szCs w:val="20"/>
                <w:lang w:eastAsia="pl-PL"/>
              </w:rPr>
              <w:t xml:space="preserve">Wszystkie </w:t>
            </w:r>
            <w:r w:rsidRPr="005C5F6B">
              <w:rPr>
                <w:rFonts w:cs="Calibri"/>
                <w:bCs/>
                <w:color w:val="000000"/>
                <w:sz w:val="20"/>
                <w:szCs w:val="20"/>
                <w:lang w:eastAsia="pl-PL"/>
              </w:rPr>
              <w:t xml:space="preserve">operacje w </w:t>
            </w:r>
            <w:r>
              <w:rPr>
                <w:rFonts w:cs="Calibri"/>
                <w:bCs/>
                <w:color w:val="000000"/>
                <w:sz w:val="20"/>
                <w:szCs w:val="20"/>
                <w:lang w:eastAsia="pl-PL"/>
              </w:rPr>
              <w:t>o</w:t>
            </w:r>
            <w:r w:rsidRPr="005C5F6B">
              <w:rPr>
                <w:rFonts w:cs="Calibri"/>
                <w:bCs/>
                <w:color w:val="000000"/>
                <w:sz w:val="20"/>
                <w:szCs w:val="20"/>
                <w:lang w:eastAsia="pl-PL"/>
              </w:rPr>
              <w:t xml:space="preserve">si </w:t>
            </w:r>
            <w:r w:rsidR="00643A68">
              <w:rPr>
                <w:rFonts w:cs="Calibri"/>
                <w:bCs/>
                <w:color w:val="000000"/>
                <w:sz w:val="20"/>
                <w:szCs w:val="20"/>
                <w:lang w:eastAsia="pl-PL"/>
              </w:rPr>
              <w:t xml:space="preserve">I </w:t>
            </w:r>
            <w:r>
              <w:rPr>
                <w:rFonts w:cs="Calibri"/>
                <w:bCs/>
                <w:color w:val="000000"/>
                <w:sz w:val="20"/>
                <w:szCs w:val="20"/>
                <w:lang w:eastAsia="pl-PL"/>
              </w:rPr>
              <w:t>POPC</w:t>
            </w:r>
            <w:r w:rsidRPr="005C5F6B">
              <w:rPr>
                <w:rFonts w:cs="Calibri"/>
                <w:bCs/>
                <w:color w:val="000000"/>
                <w:sz w:val="20"/>
                <w:szCs w:val="20"/>
                <w:lang w:eastAsia="pl-PL"/>
              </w:rPr>
              <w:t xml:space="preserve"> podporządkowane są zwiększeniu liczby gospodarstw domowych objętych szerokopasmowym dostępem do sieci, przy czym, w uzasadnionych przypadkach dopuszcza się realizację inwestycji o przepustowości poniżej 30 </w:t>
            </w:r>
            <w:proofErr w:type="spellStart"/>
            <w:r w:rsidRPr="005C5F6B">
              <w:rPr>
                <w:rFonts w:cs="Calibri"/>
                <w:bCs/>
                <w:color w:val="000000"/>
                <w:sz w:val="20"/>
                <w:szCs w:val="20"/>
                <w:lang w:eastAsia="pl-PL"/>
              </w:rPr>
              <w:t>Mb</w:t>
            </w:r>
            <w:proofErr w:type="spellEnd"/>
            <w:r w:rsidRPr="005C5F6B">
              <w:rPr>
                <w:rFonts w:cs="Calibri"/>
                <w:bCs/>
                <w:color w:val="000000"/>
                <w:sz w:val="20"/>
                <w:szCs w:val="20"/>
                <w:lang w:eastAsia="pl-PL"/>
              </w:rPr>
              <w:t xml:space="preserve">/s. </w:t>
            </w:r>
            <w:r w:rsidRPr="00CC3C1B">
              <w:rPr>
                <w:rFonts w:cs="Calibri"/>
                <w:bCs/>
                <w:color w:val="000000"/>
                <w:sz w:val="20"/>
                <w:szCs w:val="20"/>
                <w:lang w:eastAsia="pl-PL"/>
              </w:rPr>
              <w:t>Tym samym</w:t>
            </w:r>
            <w:r>
              <w:rPr>
                <w:rFonts w:cs="Calibri"/>
                <w:bCs/>
                <w:color w:val="000000"/>
                <w:sz w:val="20"/>
                <w:szCs w:val="20"/>
                <w:lang w:eastAsia="pl-PL"/>
              </w:rPr>
              <w:t>, zgodnie z informacją w punkcie a</w:t>
            </w:r>
            <w:r w:rsidR="00640292">
              <w:rPr>
                <w:rFonts w:cs="Calibri"/>
                <w:bCs/>
                <w:color w:val="000000"/>
                <w:sz w:val="20"/>
                <w:szCs w:val="20"/>
                <w:lang w:eastAsia="pl-PL"/>
              </w:rPr>
              <w:t>.</w:t>
            </w:r>
            <w:r>
              <w:rPr>
                <w:rFonts w:cs="Calibri"/>
                <w:bCs/>
                <w:color w:val="000000"/>
                <w:sz w:val="20"/>
                <w:szCs w:val="20"/>
                <w:lang w:eastAsia="pl-PL"/>
              </w:rPr>
              <w:t xml:space="preserve"> niniejszego </w:t>
            </w:r>
            <w:r w:rsidRPr="00F87908">
              <w:rPr>
                <w:rFonts w:cs="Calibri"/>
                <w:bCs/>
                <w:color w:val="000000"/>
                <w:sz w:val="20"/>
                <w:szCs w:val="20"/>
                <w:lang w:eastAsia="pl-PL"/>
              </w:rPr>
              <w:t xml:space="preserve">załącznika, około </w:t>
            </w:r>
            <w:r w:rsidR="0081781C" w:rsidRPr="00F87908">
              <w:rPr>
                <w:rFonts w:cs="Calibri"/>
                <w:bCs/>
                <w:color w:val="000000"/>
                <w:sz w:val="20"/>
                <w:szCs w:val="20"/>
                <w:lang w:eastAsia="pl-PL"/>
              </w:rPr>
              <w:t>90</w:t>
            </w:r>
            <w:r w:rsidRPr="00F87908">
              <w:rPr>
                <w:rFonts w:cs="Calibri"/>
                <w:bCs/>
                <w:color w:val="000000"/>
                <w:sz w:val="20"/>
                <w:szCs w:val="20"/>
                <w:lang w:eastAsia="pl-PL"/>
              </w:rPr>
              <w:t>% środków alokowanych na oś priorytetową</w:t>
            </w:r>
            <w:r w:rsidRPr="00CC3C1B">
              <w:rPr>
                <w:rFonts w:cs="Calibri"/>
                <w:bCs/>
                <w:color w:val="000000"/>
                <w:sz w:val="20"/>
                <w:szCs w:val="20"/>
                <w:lang w:eastAsia="pl-PL"/>
              </w:rPr>
              <w:t xml:space="preserve"> </w:t>
            </w:r>
            <w:r w:rsidR="00264402">
              <w:rPr>
                <w:rFonts w:cs="Calibri"/>
                <w:bCs/>
                <w:color w:val="000000"/>
                <w:sz w:val="20"/>
                <w:szCs w:val="20"/>
                <w:lang w:eastAsia="pl-PL"/>
              </w:rPr>
              <w:t>I</w:t>
            </w:r>
            <w:r w:rsidR="00264402" w:rsidRPr="00CC3C1B">
              <w:rPr>
                <w:rFonts w:cs="Calibri"/>
                <w:bCs/>
                <w:color w:val="000000"/>
                <w:sz w:val="20"/>
                <w:szCs w:val="20"/>
                <w:lang w:eastAsia="pl-PL"/>
              </w:rPr>
              <w:t xml:space="preserve"> </w:t>
            </w:r>
            <w:r w:rsidRPr="00CC3C1B">
              <w:rPr>
                <w:rFonts w:cs="Calibri"/>
                <w:bCs/>
                <w:color w:val="000000"/>
                <w:sz w:val="20"/>
                <w:szCs w:val="20"/>
                <w:lang w:eastAsia="pl-PL"/>
              </w:rPr>
              <w:t>przeznaczonych jest na projekty, których zakres jest identyf</w:t>
            </w:r>
            <w:r>
              <w:rPr>
                <w:rFonts w:cs="Calibri"/>
                <w:bCs/>
                <w:color w:val="000000"/>
                <w:sz w:val="20"/>
                <w:szCs w:val="20"/>
                <w:lang w:eastAsia="pl-PL"/>
              </w:rPr>
              <w:t xml:space="preserve">ikowany przez wskaźnik </w:t>
            </w:r>
            <w:r w:rsidRPr="00CC3C1B">
              <w:rPr>
                <w:rFonts w:cs="Calibri"/>
                <w:bCs/>
                <w:i/>
                <w:color w:val="000000"/>
                <w:sz w:val="20"/>
                <w:szCs w:val="20"/>
                <w:lang w:eastAsia="pl-PL"/>
              </w:rPr>
              <w:t xml:space="preserve">Dodatkowe gospodarstwa domowe objęte szerokopasmowym dostępem do sieci o przepustowości co najmniej 30 </w:t>
            </w:r>
            <w:proofErr w:type="spellStart"/>
            <w:r w:rsidRPr="00CC3C1B">
              <w:rPr>
                <w:rFonts w:cs="Calibri"/>
                <w:bCs/>
                <w:i/>
                <w:color w:val="000000"/>
                <w:sz w:val="20"/>
                <w:szCs w:val="20"/>
                <w:lang w:eastAsia="pl-PL"/>
              </w:rPr>
              <w:t>Mb</w:t>
            </w:r>
            <w:proofErr w:type="spellEnd"/>
            <w:r w:rsidRPr="00CC3C1B">
              <w:rPr>
                <w:rFonts w:cs="Calibri"/>
                <w:bCs/>
                <w:i/>
                <w:color w:val="000000"/>
                <w:sz w:val="20"/>
                <w:szCs w:val="20"/>
                <w:lang w:eastAsia="pl-PL"/>
              </w:rPr>
              <w:t>/s</w:t>
            </w:r>
            <w:r w:rsidRPr="005C5F6B">
              <w:rPr>
                <w:rFonts w:cs="Calibri"/>
                <w:bCs/>
                <w:color w:val="000000"/>
                <w:sz w:val="20"/>
                <w:szCs w:val="20"/>
                <w:lang w:eastAsia="pl-PL"/>
              </w:rPr>
              <w:t>, wprowadzony do ram wykonania</w:t>
            </w:r>
            <w:r>
              <w:rPr>
                <w:rFonts w:cs="Calibri"/>
                <w:bCs/>
                <w:color w:val="000000"/>
                <w:sz w:val="20"/>
                <w:szCs w:val="20"/>
                <w:lang w:eastAsia="pl-PL"/>
              </w:rPr>
              <w:t>.</w:t>
            </w:r>
          </w:p>
        </w:tc>
      </w:tr>
    </w:tbl>
    <w:p w:rsidR="0043575D" w:rsidRDefault="0043575D" w:rsidP="0043575D">
      <w:pPr>
        <w:spacing w:before="120" w:after="120"/>
        <w:ind w:left="360"/>
        <w:contextualSpacing/>
        <w:jc w:val="both"/>
        <w:rPr>
          <w:sz w:val="20"/>
          <w:szCs w:val="20"/>
        </w:rPr>
      </w:pPr>
    </w:p>
    <w:p w:rsidR="0044309B" w:rsidRPr="00597BF5" w:rsidRDefault="0044309B" w:rsidP="0044309B">
      <w:pPr>
        <w:numPr>
          <w:ilvl w:val="0"/>
          <w:numId w:val="1"/>
        </w:numPr>
        <w:spacing w:before="120" w:after="120"/>
        <w:contextualSpacing/>
        <w:jc w:val="both"/>
        <w:rPr>
          <w:sz w:val="20"/>
          <w:szCs w:val="20"/>
        </w:rPr>
      </w:pPr>
      <w:r w:rsidRPr="00597BF5">
        <w:rPr>
          <w:sz w:val="20"/>
          <w:szCs w:val="20"/>
        </w:rPr>
        <w:t>wyjaśnienie powodów wyboru danych wskaźników/KEW w odniesieniu do logiki interwencji zastosowanej w danej osi priorytetowej:</w:t>
      </w:r>
    </w:p>
    <w:p w:rsidR="005A0DFB" w:rsidRDefault="005A0DFB" w:rsidP="00CA21F3">
      <w:pPr>
        <w:spacing w:before="120" w:after="120"/>
        <w:ind w:left="360"/>
        <w:contextualSpacing/>
        <w:jc w:val="both"/>
        <w:rPr>
          <w:sz w:val="20"/>
          <w:szCs w:val="20"/>
        </w:rPr>
      </w:pPr>
    </w:p>
    <w:p w:rsidR="0044309B" w:rsidRPr="008316D0" w:rsidRDefault="0044309B" w:rsidP="00CA21F3">
      <w:pPr>
        <w:spacing w:before="120" w:after="120"/>
        <w:ind w:left="360"/>
        <w:contextualSpacing/>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3575D" w:rsidRPr="00DE15D1" w:rsidTr="00977ACF">
        <w:tc>
          <w:tcPr>
            <w:tcW w:w="9212" w:type="dxa"/>
            <w:shd w:val="clear" w:color="auto" w:fill="auto"/>
          </w:tcPr>
          <w:p w:rsidR="0043575D" w:rsidRPr="00D440D3" w:rsidRDefault="0043575D" w:rsidP="00264402">
            <w:pPr>
              <w:autoSpaceDE w:val="0"/>
              <w:autoSpaceDN w:val="0"/>
              <w:adjustRightInd w:val="0"/>
              <w:spacing w:after="0" w:line="240" w:lineRule="auto"/>
              <w:jc w:val="both"/>
              <w:rPr>
                <w:rFonts w:cs="Calibri"/>
                <w:bCs/>
                <w:color w:val="000000"/>
                <w:sz w:val="20"/>
                <w:szCs w:val="20"/>
                <w:lang w:eastAsia="pl-PL"/>
              </w:rPr>
            </w:pPr>
            <w:r w:rsidRPr="00CC3C1B">
              <w:rPr>
                <w:rFonts w:cs="Calibri"/>
                <w:bCs/>
                <w:color w:val="000000"/>
                <w:sz w:val="20"/>
                <w:szCs w:val="20"/>
                <w:lang w:eastAsia="pl-PL"/>
              </w:rPr>
              <w:t>Wskaźnik:</w:t>
            </w:r>
            <w:r w:rsidRPr="00CC3C1B">
              <w:rPr>
                <w:rFonts w:cs="Calibri"/>
                <w:bCs/>
                <w:i/>
                <w:color w:val="000000"/>
                <w:sz w:val="20"/>
                <w:szCs w:val="20"/>
                <w:lang w:eastAsia="pl-PL"/>
              </w:rPr>
              <w:t xml:space="preserve"> Dodatkowe gospodarstwa domowe objęte szerokopasmowym dostępem do sieci o przepustowości co najmniej 30 </w:t>
            </w:r>
            <w:proofErr w:type="spellStart"/>
            <w:r w:rsidRPr="00CC3C1B">
              <w:rPr>
                <w:rFonts w:cs="Calibri"/>
                <w:bCs/>
                <w:i/>
                <w:color w:val="000000"/>
                <w:sz w:val="20"/>
                <w:szCs w:val="20"/>
                <w:lang w:eastAsia="pl-PL"/>
              </w:rPr>
              <w:t>Mb</w:t>
            </w:r>
            <w:proofErr w:type="spellEnd"/>
            <w:r w:rsidRPr="00CC3C1B">
              <w:rPr>
                <w:rFonts w:cs="Calibri"/>
                <w:bCs/>
                <w:i/>
                <w:color w:val="000000"/>
                <w:sz w:val="20"/>
                <w:szCs w:val="20"/>
                <w:lang w:eastAsia="pl-PL"/>
              </w:rPr>
              <w:t xml:space="preserve">/s </w:t>
            </w:r>
            <w:r w:rsidRPr="00CC3C1B">
              <w:rPr>
                <w:rFonts w:cs="Calibri"/>
                <w:bCs/>
                <w:color w:val="000000"/>
                <w:sz w:val="20"/>
                <w:szCs w:val="20"/>
                <w:lang w:eastAsia="pl-PL"/>
              </w:rPr>
              <w:t xml:space="preserve">jest jedynym wskaźnikiem produktu dla </w:t>
            </w:r>
            <w:r w:rsidR="00643A68">
              <w:rPr>
                <w:rFonts w:cs="Calibri"/>
                <w:bCs/>
                <w:color w:val="000000"/>
                <w:sz w:val="20"/>
                <w:szCs w:val="20"/>
                <w:lang w:eastAsia="pl-PL"/>
              </w:rPr>
              <w:t>o</w:t>
            </w:r>
            <w:r w:rsidR="00643A68" w:rsidRPr="00CC3C1B">
              <w:rPr>
                <w:rFonts w:cs="Calibri"/>
                <w:bCs/>
                <w:color w:val="000000"/>
                <w:sz w:val="20"/>
                <w:szCs w:val="20"/>
                <w:lang w:eastAsia="pl-PL"/>
              </w:rPr>
              <w:t xml:space="preserve">si </w:t>
            </w:r>
            <w:r w:rsidR="00643A68">
              <w:rPr>
                <w:rFonts w:cs="Calibri"/>
                <w:bCs/>
                <w:color w:val="000000"/>
                <w:sz w:val="20"/>
                <w:szCs w:val="20"/>
                <w:lang w:eastAsia="pl-PL"/>
              </w:rPr>
              <w:t>p</w:t>
            </w:r>
            <w:r w:rsidR="00643A68" w:rsidRPr="00CC3C1B">
              <w:rPr>
                <w:rFonts w:cs="Calibri"/>
                <w:bCs/>
                <w:color w:val="000000"/>
                <w:sz w:val="20"/>
                <w:szCs w:val="20"/>
                <w:lang w:eastAsia="pl-PL"/>
              </w:rPr>
              <w:t xml:space="preserve">riorytetowej </w:t>
            </w:r>
            <w:r w:rsidR="00643A68">
              <w:rPr>
                <w:rFonts w:cs="Calibri"/>
                <w:bCs/>
                <w:color w:val="000000"/>
                <w:sz w:val="20"/>
                <w:szCs w:val="20"/>
                <w:lang w:eastAsia="pl-PL"/>
              </w:rPr>
              <w:t>I</w:t>
            </w:r>
            <w:r w:rsidR="00643A68" w:rsidRPr="00CC3C1B">
              <w:rPr>
                <w:rFonts w:cs="Calibri"/>
                <w:bCs/>
                <w:color w:val="000000"/>
                <w:sz w:val="20"/>
                <w:szCs w:val="20"/>
                <w:lang w:eastAsia="pl-PL"/>
              </w:rPr>
              <w:t xml:space="preserve"> </w:t>
            </w:r>
            <w:r w:rsidRPr="00CC3C1B">
              <w:rPr>
                <w:rFonts w:cs="Calibri"/>
                <w:bCs/>
                <w:color w:val="000000"/>
                <w:sz w:val="20"/>
                <w:szCs w:val="20"/>
                <w:lang w:eastAsia="pl-PL"/>
              </w:rPr>
              <w:t>w Programie Operacyjnym Polska Cyfrowa</w:t>
            </w:r>
            <w:r w:rsidR="00574ABB">
              <w:rPr>
                <w:rFonts w:cs="Calibri"/>
                <w:bCs/>
                <w:color w:val="000000"/>
                <w:sz w:val="20"/>
                <w:szCs w:val="20"/>
                <w:lang w:eastAsia="pl-PL"/>
              </w:rPr>
              <w:t xml:space="preserve"> i stanowi </w:t>
            </w:r>
            <w:proofErr w:type="spellStart"/>
            <w:r w:rsidR="00574ABB">
              <w:rPr>
                <w:rFonts w:cs="Calibri"/>
                <w:bCs/>
                <w:color w:val="000000"/>
                <w:sz w:val="20"/>
                <w:szCs w:val="20"/>
                <w:lang w:eastAsia="pl-PL"/>
              </w:rPr>
              <w:t>common</w:t>
            </w:r>
            <w:proofErr w:type="spellEnd"/>
            <w:r w:rsidR="00574ABB">
              <w:rPr>
                <w:rFonts w:cs="Calibri"/>
                <w:bCs/>
                <w:color w:val="000000"/>
                <w:sz w:val="20"/>
                <w:szCs w:val="20"/>
                <w:lang w:eastAsia="pl-PL"/>
              </w:rPr>
              <w:t xml:space="preserve"> </w:t>
            </w:r>
            <w:proofErr w:type="spellStart"/>
            <w:r w:rsidR="00574ABB">
              <w:rPr>
                <w:rFonts w:cs="Calibri"/>
                <w:bCs/>
                <w:color w:val="000000"/>
                <w:sz w:val="20"/>
                <w:szCs w:val="20"/>
                <w:lang w:eastAsia="pl-PL"/>
              </w:rPr>
              <w:t>indicator</w:t>
            </w:r>
            <w:proofErr w:type="spellEnd"/>
            <w:r w:rsidR="00574ABB">
              <w:rPr>
                <w:rFonts w:cs="Calibri"/>
                <w:bCs/>
                <w:color w:val="000000"/>
                <w:sz w:val="20"/>
                <w:szCs w:val="20"/>
                <w:lang w:eastAsia="pl-PL"/>
              </w:rPr>
              <w:t xml:space="preserve"> (CI)</w:t>
            </w:r>
            <w:r w:rsidR="00574ABB">
              <w:rPr>
                <w:rStyle w:val="Odwoanieprzypisudolnego"/>
                <w:rFonts w:cs="Calibri"/>
                <w:bCs/>
                <w:color w:val="000000"/>
                <w:sz w:val="20"/>
                <w:szCs w:val="20"/>
                <w:lang w:eastAsia="pl-PL"/>
              </w:rPr>
              <w:footnoteReference w:id="12"/>
            </w:r>
            <w:r w:rsidRPr="00CC3C1B">
              <w:rPr>
                <w:rFonts w:cs="Calibri"/>
                <w:bCs/>
                <w:color w:val="000000"/>
                <w:sz w:val="20"/>
                <w:szCs w:val="20"/>
                <w:lang w:eastAsia="pl-PL"/>
              </w:rPr>
              <w:t xml:space="preserve">. Wybór tylko jednego, powyższego wskaźnika, dla </w:t>
            </w:r>
            <w:r w:rsidR="00264402">
              <w:rPr>
                <w:rFonts w:cs="Calibri"/>
                <w:bCs/>
                <w:color w:val="000000"/>
                <w:sz w:val="20"/>
                <w:szCs w:val="20"/>
                <w:lang w:eastAsia="pl-PL"/>
              </w:rPr>
              <w:t>o</w:t>
            </w:r>
            <w:r w:rsidR="00264402" w:rsidRPr="00CC3C1B">
              <w:rPr>
                <w:rFonts w:cs="Calibri"/>
                <w:bCs/>
                <w:color w:val="000000"/>
                <w:sz w:val="20"/>
                <w:szCs w:val="20"/>
                <w:lang w:eastAsia="pl-PL"/>
              </w:rPr>
              <w:t xml:space="preserve">si </w:t>
            </w:r>
            <w:r w:rsidRPr="00CC3C1B">
              <w:rPr>
                <w:rFonts w:cs="Calibri"/>
                <w:bCs/>
                <w:color w:val="000000"/>
                <w:sz w:val="20"/>
                <w:szCs w:val="20"/>
                <w:lang w:eastAsia="pl-PL"/>
              </w:rPr>
              <w:t xml:space="preserve">1 wynika z faktu, że umożliwienie podłączenia gospodarstw domowych do </w:t>
            </w:r>
            <w:r w:rsidR="00F27E29">
              <w:rPr>
                <w:rFonts w:cs="Calibri"/>
                <w:bCs/>
                <w:color w:val="000000"/>
                <w:sz w:val="20"/>
                <w:szCs w:val="20"/>
                <w:lang w:eastAsia="pl-PL"/>
              </w:rPr>
              <w:t>I</w:t>
            </w:r>
            <w:r w:rsidRPr="00CC3C1B">
              <w:rPr>
                <w:rFonts w:cs="Calibri"/>
                <w:bCs/>
                <w:color w:val="000000"/>
                <w:sz w:val="20"/>
                <w:szCs w:val="20"/>
                <w:lang w:eastAsia="pl-PL"/>
              </w:rPr>
              <w:t xml:space="preserve">nternetu jest fundamentalnym celem projektów realizowanych w ramach tej </w:t>
            </w:r>
            <w:r w:rsidR="00264402">
              <w:rPr>
                <w:rFonts w:cs="Calibri"/>
                <w:bCs/>
                <w:color w:val="000000"/>
                <w:sz w:val="20"/>
                <w:szCs w:val="20"/>
                <w:lang w:eastAsia="pl-PL"/>
              </w:rPr>
              <w:t>o</w:t>
            </w:r>
            <w:r w:rsidR="00264402" w:rsidRPr="00CC3C1B">
              <w:rPr>
                <w:rFonts w:cs="Calibri"/>
                <w:bCs/>
                <w:color w:val="000000"/>
                <w:sz w:val="20"/>
                <w:szCs w:val="20"/>
                <w:lang w:eastAsia="pl-PL"/>
              </w:rPr>
              <w:t>si</w:t>
            </w:r>
            <w:r w:rsidRPr="00CC3C1B">
              <w:rPr>
                <w:rFonts w:cs="Calibri"/>
                <w:bCs/>
                <w:color w:val="000000"/>
                <w:sz w:val="20"/>
                <w:szCs w:val="20"/>
                <w:lang w:eastAsia="pl-PL"/>
              </w:rPr>
              <w:t xml:space="preserve">. Poprzez nakierowanie operacji realizowanych w POPC na tereny, w których interwencja rynkowa jest nieopłacalna (kategorie gmin 6-11), wskaźnik jednoznacznie odzwierciedla cel szczegółowy priorytetu: </w:t>
            </w:r>
            <w:r w:rsidR="0041033D">
              <w:rPr>
                <w:rFonts w:cs="Calibri"/>
                <w:bCs/>
                <w:i/>
                <w:color w:val="000000"/>
                <w:sz w:val="20"/>
                <w:szCs w:val="20"/>
                <w:lang w:eastAsia="pl-PL"/>
              </w:rPr>
              <w:t>Wyeliminowanie</w:t>
            </w:r>
            <w:r w:rsidRPr="00CC3C1B">
              <w:rPr>
                <w:rFonts w:cs="Calibri"/>
                <w:bCs/>
                <w:i/>
                <w:color w:val="000000"/>
                <w:sz w:val="20"/>
                <w:szCs w:val="20"/>
                <w:lang w:eastAsia="pl-PL"/>
              </w:rPr>
              <w:t xml:space="preserve"> terytorialnych różnic w możliwości dostępu do szerokopasmowego </w:t>
            </w:r>
            <w:r w:rsidR="00F27E29">
              <w:rPr>
                <w:rFonts w:cs="Calibri"/>
                <w:bCs/>
                <w:i/>
                <w:color w:val="000000"/>
                <w:sz w:val="20"/>
                <w:szCs w:val="20"/>
                <w:lang w:eastAsia="pl-PL"/>
              </w:rPr>
              <w:t>I</w:t>
            </w:r>
            <w:r w:rsidRPr="00CC3C1B">
              <w:rPr>
                <w:rFonts w:cs="Calibri"/>
                <w:bCs/>
                <w:i/>
                <w:color w:val="000000"/>
                <w:sz w:val="20"/>
                <w:szCs w:val="20"/>
                <w:lang w:eastAsia="pl-PL"/>
              </w:rPr>
              <w:t>nternetu o wysokich i bardzo wysokich przepustowościach</w:t>
            </w:r>
            <w:r w:rsidRPr="00CC3C1B">
              <w:rPr>
                <w:rFonts w:cs="Calibri"/>
                <w:bCs/>
                <w:color w:val="000000"/>
                <w:sz w:val="20"/>
                <w:szCs w:val="20"/>
                <w:lang w:eastAsia="pl-PL"/>
              </w:rPr>
              <w:t>.</w:t>
            </w:r>
            <w:r w:rsidR="00CD5255">
              <w:rPr>
                <w:rFonts w:cs="Calibri"/>
                <w:bCs/>
                <w:color w:val="000000"/>
                <w:sz w:val="20"/>
                <w:szCs w:val="20"/>
                <w:lang w:eastAsia="pl-PL"/>
              </w:rPr>
              <w:t xml:space="preserve"> </w:t>
            </w:r>
            <w:r>
              <w:rPr>
                <w:rFonts w:cs="Calibri"/>
                <w:bCs/>
                <w:color w:val="000000"/>
                <w:sz w:val="20"/>
                <w:szCs w:val="20"/>
                <w:lang w:eastAsia="pl-PL"/>
              </w:rPr>
              <w:t>Jednocześnie, ze względu na długookresową realizację projektów szerokopasmowych i brak możliwości ich zakończenia do roku 2018 r., a tym samym osiągnięcia wskaźnika z poziomu operacji zakończonych, konieczne jest wprowadzenie kluczowego etapu wdrażania, opisanego szczegółowo w punkcie a</w:t>
            </w:r>
            <w:r w:rsidR="00901556">
              <w:rPr>
                <w:rFonts w:cs="Calibri"/>
                <w:bCs/>
                <w:color w:val="000000"/>
                <w:sz w:val="20"/>
                <w:szCs w:val="20"/>
                <w:lang w:eastAsia="pl-PL"/>
              </w:rPr>
              <w:t>.</w:t>
            </w:r>
            <w:r>
              <w:rPr>
                <w:rFonts w:cs="Calibri"/>
                <w:bCs/>
                <w:color w:val="000000"/>
                <w:sz w:val="20"/>
                <w:szCs w:val="20"/>
                <w:lang w:eastAsia="pl-PL"/>
              </w:rPr>
              <w:t xml:space="preserve"> niniejszego załącznika.</w:t>
            </w:r>
          </w:p>
        </w:tc>
      </w:tr>
    </w:tbl>
    <w:p w:rsidR="0043575D" w:rsidRDefault="0043575D" w:rsidP="0043575D">
      <w:pPr>
        <w:spacing w:before="120" w:after="120"/>
        <w:contextualSpacing/>
        <w:jc w:val="both"/>
        <w:rPr>
          <w:rFonts w:cs="Calibri"/>
        </w:rPr>
      </w:pPr>
    </w:p>
    <w:p w:rsidR="0044309B" w:rsidRPr="00597BF5" w:rsidRDefault="0044309B" w:rsidP="0044309B">
      <w:pPr>
        <w:numPr>
          <w:ilvl w:val="0"/>
          <w:numId w:val="1"/>
        </w:numPr>
        <w:spacing w:before="120" w:after="120"/>
        <w:contextualSpacing/>
        <w:jc w:val="both"/>
        <w:rPr>
          <w:sz w:val="20"/>
          <w:szCs w:val="20"/>
        </w:rPr>
      </w:pPr>
      <w:r w:rsidRPr="00597BF5">
        <w:rPr>
          <w:sz w:val="20"/>
          <w:szCs w:val="20"/>
        </w:rPr>
        <w:t>Wyjaśnienie, w jaki sposób zapewniono praktyczne przełożenie ram wykonania na mechanizmy wdrożeniowe danej osi:</w:t>
      </w:r>
    </w:p>
    <w:p w:rsidR="009E2E08" w:rsidRPr="00BB5A64" w:rsidRDefault="009E2E08" w:rsidP="00597BF5">
      <w:pPr>
        <w:spacing w:after="0" w:line="240" w:lineRule="auto"/>
        <w:contextualSpacing/>
        <w:jc w:val="both"/>
        <w:rPr>
          <w:rFonts w:cs="Calibri"/>
          <w:b/>
          <w:bCs/>
          <w:i/>
          <w:color w:val="1F497D"/>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3575D" w:rsidRPr="00DE15D1" w:rsidTr="00977ACF">
        <w:tc>
          <w:tcPr>
            <w:tcW w:w="9212" w:type="dxa"/>
            <w:shd w:val="clear" w:color="auto" w:fill="auto"/>
          </w:tcPr>
          <w:p w:rsidR="0043575D" w:rsidRDefault="0043575D" w:rsidP="00AA52FE">
            <w:pPr>
              <w:autoSpaceDE w:val="0"/>
              <w:autoSpaceDN w:val="0"/>
              <w:adjustRightInd w:val="0"/>
              <w:spacing w:after="0" w:line="240" w:lineRule="auto"/>
              <w:jc w:val="both"/>
              <w:rPr>
                <w:rFonts w:cs="Calibri"/>
                <w:bCs/>
                <w:sz w:val="20"/>
                <w:szCs w:val="20"/>
                <w:lang w:eastAsia="pl-PL"/>
              </w:rPr>
            </w:pPr>
            <w:r>
              <w:rPr>
                <w:rFonts w:cs="Calibri"/>
                <w:bCs/>
                <w:sz w:val="20"/>
                <w:szCs w:val="20"/>
                <w:lang w:eastAsia="pl-PL"/>
              </w:rPr>
              <w:t xml:space="preserve">Kryteria wyboru projektów do dofinansowania w ramach osi priorytetowej 1 premiowały będą w pierwszej kolejności projekty, w których realizacja inwestycji wskazanych w dokumentacji konkursowej będzie osiągnięta maksymalnie efektywnie tzn. </w:t>
            </w:r>
            <w:r w:rsidRPr="00234AAA">
              <w:rPr>
                <w:rFonts w:cs="Calibri"/>
                <w:bCs/>
                <w:sz w:val="20"/>
                <w:szCs w:val="20"/>
                <w:lang w:eastAsia="pl-PL"/>
              </w:rPr>
              <w:t>objęcie szerokopasmowym dostępem do sieci gospodarstw domowych</w:t>
            </w:r>
            <w:r>
              <w:rPr>
                <w:rFonts w:cs="Calibri"/>
                <w:bCs/>
                <w:sz w:val="20"/>
                <w:szCs w:val="20"/>
                <w:lang w:eastAsia="pl-PL"/>
              </w:rPr>
              <w:t xml:space="preserve"> na wskazanych terenach nastąpi przy jak najniższych kosztach </w:t>
            </w:r>
            <w:r w:rsidR="00901556">
              <w:rPr>
                <w:rFonts w:cs="Calibri"/>
                <w:bCs/>
                <w:sz w:val="20"/>
                <w:szCs w:val="20"/>
                <w:lang w:eastAsia="pl-PL"/>
              </w:rPr>
              <w:t xml:space="preserve">(zatem także dofinansowania UE) </w:t>
            </w:r>
            <w:r>
              <w:rPr>
                <w:rFonts w:cs="Calibri"/>
                <w:bCs/>
                <w:sz w:val="20"/>
                <w:szCs w:val="20"/>
                <w:lang w:eastAsia="pl-PL"/>
              </w:rPr>
              <w:t xml:space="preserve">i jak najwyższych parametrach jakościowych. </w:t>
            </w:r>
            <w:r w:rsidRPr="00234AAA">
              <w:rPr>
                <w:rFonts w:cs="Calibri"/>
                <w:bCs/>
                <w:sz w:val="20"/>
                <w:szCs w:val="20"/>
                <w:lang w:eastAsia="pl-PL"/>
              </w:rPr>
              <w:t>Beneficjenci</w:t>
            </w:r>
            <w:r>
              <w:rPr>
                <w:rFonts w:cs="Calibri"/>
                <w:bCs/>
                <w:sz w:val="20"/>
                <w:szCs w:val="20"/>
                <w:lang w:eastAsia="pl-PL"/>
              </w:rPr>
              <w:t xml:space="preserve"> wybrani m.in. w oparciu o kryteria kosztowo – jakościowe</w:t>
            </w:r>
            <w:r w:rsidRPr="00234AAA">
              <w:rPr>
                <w:rFonts w:cs="Calibri"/>
                <w:bCs/>
                <w:sz w:val="20"/>
                <w:szCs w:val="20"/>
                <w:lang w:eastAsia="pl-PL"/>
              </w:rPr>
              <w:t xml:space="preserve"> będą realizowali zatem projekty na najtrudniejszych inwestycyjnie terenach wskazanych w oparciu o inwentaryzację infrastruktury sieciowej przeprowadzonej przez UKE</w:t>
            </w:r>
            <w:r>
              <w:rPr>
                <w:rFonts w:cs="Calibri"/>
                <w:bCs/>
                <w:sz w:val="20"/>
                <w:szCs w:val="20"/>
                <w:lang w:eastAsia="pl-PL"/>
              </w:rPr>
              <w:t>.</w:t>
            </w:r>
          </w:p>
          <w:p w:rsidR="00CA4AE4" w:rsidRPr="00DD09B5" w:rsidRDefault="00CA4AE4" w:rsidP="00B16279">
            <w:pPr>
              <w:spacing w:after="0"/>
              <w:rPr>
                <w:rFonts w:asciiTheme="minorHAnsi" w:hAnsiTheme="minorHAnsi" w:cstheme="minorHAnsi"/>
                <w:b/>
                <w:szCs w:val="18"/>
                <w:u w:val="single"/>
              </w:rPr>
            </w:pPr>
            <w:r w:rsidRPr="00DD09B5">
              <w:rPr>
                <w:rFonts w:asciiTheme="minorHAnsi" w:hAnsiTheme="minorHAnsi" w:cstheme="minorHAnsi"/>
                <w:b/>
                <w:szCs w:val="18"/>
                <w:u w:val="single"/>
              </w:rPr>
              <w:t>Zmiana wartości docelowych po przeglądzie śródokresowym.</w:t>
            </w:r>
          </w:p>
          <w:p w:rsidR="00B16279" w:rsidRPr="00DD09B5" w:rsidRDefault="00051282" w:rsidP="00B16279">
            <w:pPr>
              <w:spacing w:after="0"/>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Po przeglądzie śródokresowym, w oparciu o dane wg stanu na 2020 r. zwiększono wartość d</w:t>
            </w:r>
            <w:r w:rsidR="00610CF2" w:rsidRPr="00DD09B5">
              <w:rPr>
                <w:rFonts w:asciiTheme="minorHAnsi" w:eastAsia="Times New Roman" w:hAnsiTheme="minorHAnsi" w:cstheme="minorHAnsi"/>
                <w:sz w:val="20"/>
                <w:szCs w:val="20"/>
              </w:rPr>
              <w:t>o</w:t>
            </w:r>
            <w:r w:rsidRPr="00DD09B5">
              <w:rPr>
                <w:rFonts w:asciiTheme="minorHAnsi" w:eastAsia="Times New Roman" w:hAnsiTheme="minorHAnsi" w:cstheme="minorHAnsi"/>
                <w:sz w:val="20"/>
                <w:szCs w:val="20"/>
              </w:rPr>
              <w:t>celową na</w:t>
            </w:r>
            <w:r w:rsidR="00CA4AE4" w:rsidRPr="00DD09B5">
              <w:rPr>
                <w:rFonts w:asciiTheme="minorHAnsi" w:eastAsia="Times New Roman" w:hAnsiTheme="minorHAnsi" w:cstheme="minorHAnsi"/>
                <w:sz w:val="20"/>
                <w:szCs w:val="20"/>
              </w:rPr>
              <w:t xml:space="preserve"> </w:t>
            </w:r>
            <w:r w:rsidRPr="00DD09B5">
              <w:rPr>
                <w:rFonts w:asciiTheme="minorHAnsi" w:eastAsia="Times New Roman" w:hAnsiTheme="minorHAnsi" w:cstheme="minorHAnsi"/>
                <w:sz w:val="20"/>
                <w:szCs w:val="20"/>
              </w:rPr>
              <w:t xml:space="preserve">2023. Nowy cel końcowy został obliczony w oparciu o wartości wskaźnika wynikające z podpisanych umów i szacowanego rozwiązywania umów. </w:t>
            </w:r>
            <w:proofErr w:type="spellStart"/>
            <w:r w:rsidRPr="00DD09B5">
              <w:rPr>
                <w:rFonts w:asciiTheme="minorHAnsi" w:eastAsia="Times New Roman" w:hAnsiTheme="minorHAnsi" w:cstheme="minorHAnsi"/>
                <w:sz w:val="20"/>
                <w:szCs w:val="20"/>
              </w:rPr>
              <w:t>Zwiększonie</w:t>
            </w:r>
            <w:proofErr w:type="spellEnd"/>
            <w:r w:rsidRPr="00DD09B5">
              <w:rPr>
                <w:rFonts w:asciiTheme="minorHAnsi" w:eastAsia="Times New Roman" w:hAnsiTheme="minorHAnsi" w:cstheme="minorHAnsi"/>
                <w:sz w:val="20"/>
                <w:szCs w:val="20"/>
              </w:rPr>
              <w:t xml:space="preserve"> celu </w:t>
            </w:r>
            <w:r w:rsidR="00CA4AE4" w:rsidRPr="00DD09B5">
              <w:rPr>
                <w:rFonts w:asciiTheme="minorHAnsi" w:eastAsia="Times New Roman" w:hAnsiTheme="minorHAnsi" w:cstheme="minorHAnsi"/>
                <w:sz w:val="20"/>
                <w:szCs w:val="20"/>
              </w:rPr>
              <w:t xml:space="preserve">jest w znacznej części wynikiem wdrożenia </w:t>
            </w:r>
            <w:r w:rsidR="00B16279" w:rsidRPr="00DD09B5">
              <w:rPr>
                <w:rFonts w:asciiTheme="minorHAnsi" w:eastAsia="Times New Roman" w:hAnsiTheme="minorHAnsi" w:cstheme="minorHAnsi"/>
                <w:sz w:val="20"/>
                <w:szCs w:val="20"/>
              </w:rPr>
              <w:t>a</w:t>
            </w:r>
            <w:r w:rsidR="00CA4AE4" w:rsidRPr="00DD09B5">
              <w:rPr>
                <w:rFonts w:asciiTheme="minorHAnsi" w:eastAsia="Times New Roman" w:hAnsiTheme="minorHAnsi" w:cstheme="minorHAnsi"/>
                <w:sz w:val="20"/>
                <w:szCs w:val="20"/>
              </w:rPr>
              <w:t>ukcyjnego</w:t>
            </w:r>
            <w:r w:rsidR="00B16279" w:rsidRPr="00DD09B5">
              <w:rPr>
                <w:rFonts w:asciiTheme="minorHAnsi" w:eastAsia="Times New Roman" w:hAnsiTheme="minorHAnsi" w:cstheme="minorHAnsi"/>
                <w:sz w:val="20"/>
                <w:szCs w:val="20"/>
              </w:rPr>
              <w:t xml:space="preserve"> </w:t>
            </w:r>
            <w:r w:rsidR="00CA4AE4" w:rsidRPr="00DD09B5">
              <w:rPr>
                <w:rFonts w:asciiTheme="minorHAnsi" w:eastAsia="Times New Roman" w:hAnsiTheme="minorHAnsi" w:cstheme="minorHAnsi"/>
                <w:sz w:val="20"/>
                <w:szCs w:val="20"/>
              </w:rPr>
              <w:t xml:space="preserve">mechanizmu </w:t>
            </w:r>
            <w:r w:rsidR="00B16279" w:rsidRPr="00DD09B5">
              <w:rPr>
                <w:rFonts w:asciiTheme="minorHAnsi" w:eastAsia="Times New Roman" w:hAnsiTheme="minorHAnsi" w:cstheme="minorHAnsi"/>
                <w:sz w:val="20"/>
                <w:szCs w:val="20"/>
              </w:rPr>
              <w:t>wyboru projektów</w:t>
            </w:r>
            <w:r w:rsidR="00CA4AE4" w:rsidRPr="00DD09B5">
              <w:rPr>
                <w:rFonts w:asciiTheme="minorHAnsi" w:eastAsia="Times New Roman" w:hAnsiTheme="minorHAnsi" w:cstheme="minorHAnsi"/>
                <w:sz w:val="20"/>
                <w:szCs w:val="20"/>
              </w:rPr>
              <w:t xml:space="preserve"> w działaniu</w:t>
            </w:r>
            <w:r w:rsidR="00B16279" w:rsidRPr="00DD09B5">
              <w:rPr>
                <w:rFonts w:asciiTheme="minorHAnsi" w:eastAsia="Times New Roman" w:hAnsiTheme="minorHAnsi" w:cstheme="minorHAnsi"/>
                <w:sz w:val="20"/>
                <w:szCs w:val="20"/>
              </w:rPr>
              <w:t xml:space="preserve"> 1.1 POPC</w:t>
            </w:r>
            <w:r w:rsidR="00CA4AE4" w:rsidRPr="00DD09B5">
              <w:rPr>
                <w:rFonts w:asciiTheme="minorHAnsi" w:eastAsia="Times New Roman" w:hAnsiTheme="minorHAnsi" w:cstheme="minorHAnsi"/>
                <w:sz w:val="20"/>
                <w:szCs w:val="20"/>
              </w:rPr>
              <w:t>. System ten</w:t>
            </w:r>
            <w:r w:rsidR="00B16279" w:rsidRPr="00DD09B5">
              <w:rPr>
                <w:rFonts w:asciiTheme="minorHAnsi" w:eastAsia="Times New Roman" w:hAnsiTheme="minorHAnsi" w:cstheme="minorHAnsi"/>
                <w:sz w:val="20"/>
                <w:szCs w:val="20"/>
              </w:rPr>
              <w:t xml:space="preserve"> polega w szczególności na następujących założeniach:</w:t>
            </w:r>
          </w:p>
          <w:p w:rsidR="00B16279" w:rsidRPr="00DD09B5" w:rsidRDefault="00B16279" w:rsidP="00B16279">
            <w:pPr>
              <w:numPr>
                <w:ilvl w:val="0"/>
                <w:numId w:val="27"/>
              </w:numPr>
              <w:tabs>
                <w:tab w:val="left" w:pos="284"/>
              </w:tabs>
              <w:spacing w:after="0"/>
              <w:ind w:left="284" w:hanging="284"/>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Wybór projektów do dofinansowania następuje w trybie konkursowym;</w:t>
            </w:r>
          </w:p>
          <w:p w:rsidR="00B16279" w:rsidRPr="00DD09B5" w:rsidRDefault="00B16279" w:rsidP="00B16279">
            <w:pPr>
              <w:numPr>
                <w:ilvl w:val="0"/>
                <w:numId w:val="27"/>
              </w:numPr>
              <w:tabs>
                <w:tab w:val="left" w:pos="284"/>
              </w:tabs>
              <w:spacing w:after="0"/>
              <w:ind w:left="284" w:hanging="284"/>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Na danym obszarze interwencji realizowany może być wyłącznie jeden projekt, spełniający formalne oraz merytoryczne kryteria wyboru projektów, który uzyskał największą liczbę punktów w ramach kryteriów merytorycznych punktowych spośród wszystkich wnioskujących o dofinansowanie na danym obszarze konkursowym;</w:t>
            </w:r>
          </w:p>
          <w:p w:rsidR="00B16279" w:rsidRPr="00DD09B5" w:rsidRDefault="00B16279" w:rsidP="00B16279">
            <w:pPr>
              <w:numPr>
                <w:ilvl w:val="0"/>
                <w:numId w:val="27"/>
              </w:numPr>
              <w:tabs>
                <w:tab w:val="left" w:pos="284"/>
              </w:tabs>
              <w:spacing w:after="0"/>
              <w:ind w:left="284" w:hanging="284"/>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Wnioskodawca może złożyć w konkursie więcej niż jeden wniosek o dofinansowanie pod warunkiem, że każdy z nich zostanie złożony na inny obszar konkursowy.</w:t>
            </w:r>
          </w:p>
          <w:p w:rsidR="00B16279" w:rsidRPr="00DD09B5" w:rsidRDefault="00B16279" w:rsidP="00B16279">
            <w:pPr>
              <w:numPr>
                <w:ilvl w:val="0"/>
                <w:numId w:val="27"/>
              </w:numPr>
              <w:tabs>
                <w:tab w:val="left" w:pos="284"/>
              </w:tabs>
              <w:spacing w:after="0"/>
              <w:ind w:left="284" w:hanging="284"/>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Wnioskodawca nie może złożyć jednego wniosku o dofinansowanie obejmującego kilka obszarów konkursowych.</w:t>
            </w:r>
          </w:p>
          <w:p w:rsidR="00B16279" w:rsidRPr="00DD09B5" w:rsidRDefault="00B16279" w:rsidP="00B16279">
            <w:pPr>
              <w:numPr>
                <w:ilvl w:val="0"/>
                <w:numId w:val="27"/>
              </w:numPr>
              <w:tabs>
                <w:tab w:val="left" w:pos="284"/>
              </w:tabs>
              <w:spacing w:after="0"/>
              <w:ind w:left="284" w:hanging="284"/>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Wnioskodawcy powiązani nie mogą złożyć więcej niż jednego wniosku na dany obszar konkursowy.</w:t>
            </w:r>
          </w:p>
          <w:p w:rsidR="00B16279" w:rsidRPr="00DD09B5" w:rsidRDefault="00B16279" w:rsidP="00B16279">
            <w:pPr>
              <w:numPr>
                <w:ilvl w:val="0"/>
                <w:numId w:val="27"/>
              </w:numPr>
              <w:tabs>
                <w:tab w:val="left" w:pos="284"/>
              </w:tabs>
              <w:spacing w:after="0"/>
              <w:ind w:left="284" w:hanging="284"/>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Wnioskodawca jest zobowiązany do zadeklarowania minimalnej liczby gospodarstw domowych do objęcia zasięgiem na wybranym obszarze interwencji spośród punktów adresowych określonych w wykazie obszarów konkursowych jako „podstawowe”. Każde zadeklarowane zwiększenie zasięgu planowanej sieci NGA (ponad minimum określone dla obszaru) może dopiero uwzględniać wszystkie pozostałe punkty adresowe wskazane w liście gospodarstw domowych do objęcia zasięgiem dla danego obszaru konkursowego, w tym punktów adresowych „dodatkowych”.</w:t>
            </w:r>
          </w:p>
          <w:p w:rsidR="00B16279" w:rsidRPr="00DD09B5" w:rsidRDefault="00B16279" w:rsidP="00B16279">
            <w:pPr>
              <w:tabs>
                <w:tab w:val="left" w:pos="284"/>
              </w:tabs>
              <w:spacing w:after="0"/>
              <w:jc w:val="both"/>
              <w:rPr>
                <w:rFonts w:asciiTheme="minorHAnsi" w:eastAsia="Times New Roman" w:hAnsiTheme="minorHAnsi" w:cstheme="minorHAnsi"/>
                <w:sz w:val="20"/>
                <w:szCs w:val="20"/>
              </w:rPr>
            </w:pPr>
            <w:r w:rsidRPr="00DD09B5">
              <w:rPr>
                <w:rFonts w:asciiTheme="minorHAnsi" w:eastAsia="Times New Roman" w:hAnsiTheme="minorHAnsi" w:cstheme="minorHAnsi"/>
                <w:sz w:val="20"/>
                <w:szCs w:val="20"/>
              </w:rPr>
              <w:t xml:space="preserve">Kryteria merytoryczne punktowe, mające wpływ na kolejność na liście rankingowej, a tym samym na wybór </w:t>
            </w:r>
            <w:r w:rsidRPr="00DD09B5">
              <w:rPr>
                <w:rFonts w:asciiTheme="minorHAnsi" w:eastAsia="Times New Roman" w:hAnsiTheme="minorHAnsi" w:cstheme="minorHAnsi"/>
                <w:sz w:val="20"/>
                <w:szCs w:val="20"/>
              </w:rPr>
              <w:lastRenderedPageBreak/>
              <w:t xml:space="preserve">projektu, to: </w:t>
            </w:r>
            <w:r w:rsidRPr="00DD09B5">
              <w:rPr>
                <w:rFonts w:asciiTheme="minorHAnsi" w:eastAsia="Times New Roman" w:hAnsiTheme="minorHAnsi" w:cstheme="minorHAnsi"/>
                <w:b/>
                <w:sz w:val="20"/>
                <w:szCs w:val="20"/>
              </w:rPr>
              <w:t>minimalizowanie wkładu publicznego, zwiększenie minimalnego pokrycia siecią</w:t>
            </w:r>
            <w:r w:rsidRPr="00DD09B5">
              <w:rPr>
                <w:rFonts w:asciiTheme="minorHAnsi" w:eastAsia="Times New Roman" w:hAnsiTheme="minorHAnsi" w:cstheme="minorHAnsi"/>
                <w:sz w:val="20"/>
                <w:szCs w:val="20"/>
              </w:rPr>
              <w:t>; poza tym trzecie kryterium merytoryczne punktowe to: Wnioskodawca posiada doświadczenie w zakresie realizacji projektów/inwestycji dotyczących budowy sieci telekomunikacyjnych;</w:t>
            </w:r>
          </w:p>
          <w:p w:rsidR="00B16279" w:rsidRPr="00DD09B5" w:rsidRDefault="00B16279" w:rsidP="00B16279">
            <w:pPr>
              <w:pStyle w:val="Default"/>
              <w:numPr>
                <w:ilvl w:val="0"/>
                <w:numId w:val="28"/>
              </w:numPr>
              <w:tabs>
                <w:tab w:val="left" w:pos="284"/>
              </w:tabs>
              <w:ind w:left="284" w:hanging="284"/>
              <w:jc w:val="both"/>
              <w:rPr>
                <w:rFonts w:asciiTheme="minorHAnsi" w:eastAsia="Times New Roman" w:hAnsiTheme="minorHAnsi" w:cstheme="minorHAnsi"/>
                <w:color w:val="auto"/>
                <w:sz w:val="20"/>
                <w:szCs w:val="20"/>
              </w:rPr>
            </w:pPr>
            <w:r w:rsidRPr="00DD09B5">
              <w:rPr>
                <w:rFonts w:asciiTheme="minorHAnsi" w:eastAsia="Times New Roman" w:hAnsiTheme="minorHAnsi" w:cstheme="minorHAnsi"/>
                <w:color w:val="auto"/>
                <w:sz w:val="20"/>
                <w:szCs w:val="20"/>
              </w:rPr>
              <w:t xml:space="preserve">w przypadku projektów, które otrzymały taką samą liczbę punktów w ramach danego obszaru konkursowego, czynnikami decydującymi o przyznaniu dofinansowania w ramach obszaru konkursowego są kolejno: </w:t>
            </w:r>
          </w:p>
          <w:p w:rsidR="00B16279" w:rsidRPr="00DD09B5" w:rsidRDefault="00B16279" w:rsidP="00B16279">
            <w:pPr>
              <w:pStyle w:val="Default"/>
              <w:numPr>
                <w:ilvl w:val="0"/>
                <w:numId w:val="29"/>
              </w:numPr>
              <w:tabs>
                <w:tab w:val="left" w:pos="567"/>
              </w:tabs>
              <w:ind w:left="567" w:hanging="284"/>
              <w:jc w:val="both"/>
              <w:rPr>
                <w:rFonts w:asciiTheme="minorHAnsi" w:eastAsia="Times New Roman" w:hAnsiTheme="minorHAnsi" w:cstheme="minorHAnsi"/>
                <w:color w:val="auto"/>
                <w:sz w:val="20"/>
                <w:szCs w:val="20"/>
              </w:rPr>
            </w:pPr>
            <w:r w:rsidRPr="00DD09B5">
              <w:rPr>
                <w:rFonts w:asciiTheme="minorHAnsi" w:eastAsia="Times New Roman" w:hAnsiTheme="minorHAnsi" w:cstheme="minorHAnsi"/>
                <w:color w:val="auto"/>
                <w:sz w:val="20"/>
                <w:szCs w:val="20"/>
              </w:rPr>
              <w:t xml:space="preserve">planowany zasięg sieci (dofinansowanie otrzymuje projekt o największym planowanym zasięgu sieci) albo </w:t>
            </w:r>
          </w:p>
          <w:p w:rsidR="00B16279" w:rsidRPr="00DD09B5" w:rsidRDefault="00B16279" w:rsidP="00B16279">
            <w:pPr>
              <w:pStyle w:val="Default"/>
              <w:numPr>
                <w:ilvl w:val="0"/>
                <w:numId w:val="29"/>
              </w:numPr>
              <w:tabs>
                <w:tab w:val="left" w:pos="567"/>
              </w:tabs>
              <w:ind w:left="567" w:hanging="284"/>
              <w:jc w:val="both"/>
              <w:rPr>
                <w:rFonts w:asciiTheme="minorHAnsi" w:eastAsia="Times New Roman" w:hAnsiTheme="minorHAnsi" w:cstheme="minorHAnsi"/>
                <w:color w:val="auto"/>
                <w:sz w:val="20"/>
                <w:szCs w:val="20"/>
              </w:rPr>
            </w:pPr>
            <w:r w:rsidRPr="00DD09B5">
              <w:rPr>
                <w:rFonts w:asciiTheme="minorHAnsi" w:eastAsia="Times New Roman" w:hAnsiTheme="minorHAnsi" w:cstheme="minorHAnsi"/>
                <w:color w:val="auto"/>
                <w:sz w:val="20"/>
                <w:szCs w:val="20"/>
              </w:rPr>
              <w:t xml:space="preserve">planowany zasięg sieci o przepustowości pow. 100 </w:t>
            </w:r>
            <w:proofErr w:type="spellStart"/>
            <w:r w:rsidRPr="00DD09B5">
              <w:rPr>
                <w:rFonts w:asciiTheme="minorHAnsi" w:eastAsia="Times New Roman" w:hAnsiTheme="minorHAnsi" w:cstheme="minorHAnsi"/>
                <w:color w:val="auto"/>
                <w:sz w:val="20"/>
                <w:szCs w:val="20"/>
              </w:rPr>
              <w:t>Mb</w:t>
            </w:r>
            <w:proofErr w:type="spellEnd"/>
            <w:r w:rsidRPr="00DD09B5">
              <w:rPr>
                <w:rFonts w:asciiTheme="minorHAnsi" w:eastAsia="Times New Roman" w:hAnsiTheme="minorHAnsi" w:cstheme="minorHAnsi"/>
                <w:color w:val="auto"/>
                <w:sz w:val="20"/>
                <w:szCs w:val="20"/>
              </w:rPr>
              <w:t xml:space="preserve">/s (dofinansowanie otrzymuje projekt o większym planowanym zasięgu sieci 100 </w:t>
            </w:r>
            <w:proofErr w:type="spellStart"/>
            <w:r w:rsidRPr="00DD09B5">
              <w:rPr>
                <w:rFonts w:asciiTheme="minorHAnsi" w:eastAsia="Times New Roman" w:hAnsiTheme="minorHAnsi" w:cstheme="minorHAnsi"/>
                <w:color w:val="auto"/>
                <w:sz w:val="20"/>
                <w:szCs w:val="20"/>
              </w:rPr>
              <w:t>Mb</w:t>
            </w:r>
            <w:proofErr w:type="spellEnd"/>
            <w:r w:rsidRPr="00DD09B5">
              <w:rPr>
                <w:rFonts w:asciiTheme="minorHAnsi" w:eastAsia="Times New Roman" w:hAnsiTheme="minorHAnsi" w:cstheme="minorHAnsi"/>
                <w:color w:val="auto"/>
                <w:sz w:val="20"/>
                <w:szCs w:val="20"/>
              </w:rPr>
              <w:t xml:space="preserve">/s) albo </w:t>
            </w:r>
          </w:p>
          <w:p w:rsidR="00B16279" w:rsidRPr="00DD09B5" w:rsidRDefault="00B16279" w:rsidP="00B16279">
            <w:pPr>
              <w:pStyle w:val="Default"/>
              <w:numPr>
                <w:ilvl w:val="0"/>
                <w:numId w:val="29"/>
              </w:numPr>
              <w:tabs>
                <w:tab w:val="left" w:pos="567"/>
              </w:tabs>
              <w:ind w:left="567" w:hanging="284"/>
              <w:jc w:val="both"/>
              <w:rPr>
                <w:rFonts w:asciiTheme="minorHAnsi" w:eastAsia="Times New Roman" w:hAnsiTheme="minorHAnsi" w:cstheme="minorHAnsi"/>
                <w:color w:val="auto"/>
                <w:sz w:val="20"/>
                <w:szCs w:val="20"/>
              </w:rPr>
            </w:pPr>
            <w:r w:rsidRPr="00DD09B5">
              <w:rPr>
                <w:rFonts w:asciiTheme="minorHAnsi" w:eastAsia="Times New Roman" w:hAnsiTheme="minorHAnsi" w:cstheme="minorHAnsi"/>
                <w:color w:val="auto"/>
                <w:sz w:val="20"/>
                <w:szCs w:val="20"/>
              </w:rPr>
              <w:t xml:space="preserve">kwota dofinansowania (dofinansowanie otrzymuje projekt o najniższej wnioskowanej kwocie dofinansowania) albo </w:t>
            </w:r>
          </w:p>
          <w:p w:rsidR="00B16279" w:rsidRPr="00DD09B5" w:rsidRDefault="00B16279" w:rsidP="00DD09B5">
            <w:pPr>
              <w:numPr>
                <w:ilvl w:val="0"/>
                <w:numId w:val="29"/>
              </w:numPr>
              <w:tabs>
                <w:tab w:val="left" w:pos="567"/>
                <w:tab w:val="left" w:pos="709"/>
              </w:tabs>
              <w:spacing w:after="120"/>
              <w:ind w:left="568" w:hanging="284"/>
              <w:jc w:val="both"/>
              <w:rPr>
                <w:rFonts w:ascii="Arial" w:eastAsia="Times New Roman" w:hAnsi="Arial" w:cs="Arial"/>
                <w:sz w:val="20"/>
                <w:szCs w:val="20"/>
              </w:rPr>
            </w:pPr>
            <w:r w:rsidRPr="00DD09B5">
              <w:rPr>
                <w:rFonts w:asciiTheme="minorHAnsi" w:eastAsia="Times New Roman" w:hAnsiTheme="minorHAnsi" w:cstheme="minorHAnsi"/>
                <w:sz w:val="20"/>
                <w:szCs w:val="20"/>
              </w:rPr>
              <w:t>moment złożenia wniosku o dofinansowanie (dofinansowanie otrzymuje projekt złożony najwcześniej).</w:t>
            </w:r>
          </w:p>
        </w:tc>
      </w:tr>
    </w:tbl>
    <w:p w:rsidR="0043575D" w:rsidRDefault="0043575D" w:rsidP="0043575D">
      <w:pPr>
        <w:spacing w:before="120" w:after="120"/>
        <w:ind w:left="360"/>
        <w:contextualSpacing/>
        <w:jc w:val="both"/>
        <w:rPr>
          <w:sz w:val="20"/>
          <w:szCs w:val="20"/>
        </w:rPr>
      </w:pPr>
    </w:p>
    <w:p w:rsidR="002D4DA1" w:rsidRPr="002D4DA1" w:rsidRDefault="002D4DA1" w:rsidP="002D4DA1">
      <w:pPr>
        <w:numPr>
          <w:ilvl w:val="0"/>
          <w:numId w:val="1"/>
        </w:numPr>
        <w:spacing w:before="120" w:after="120"/>
        <w:contextualSpacing/>
        <w:jc w:val="both"/>
        <w:rPr>
          <w:sz w:val="20"/>
          <w:szCs w:val="20"/>
        </w:rPr>
      </w:pPr>
      <w:r w:rsidRPr="00840299">
        <w:rPr>
          <w:sz w:val="20"/>
          <w:szCs w:val="20"/>
        </w:rPr>
        <w:t>na podstawie doświadczeń z poprzednich okresów programowania należy wskazać, jakie czynniki mogą mieć wpływ na metodykę szacowanie wartości pośrednich i końcowych. Zgodnie z art. 5 ust 6 rozporządzenia wykonawczego KE nr 215/2014, jeżeli w trakcie wdrażania te czynniki ujawnią się i ich oddziaływanie będzie na tyle istotne, że konieczne stanie się odpowiednie dostosowanie metod szacowania oraz wartości celów pośrednich i końcowych, wówczas instytucja zarządzająca może uznać to za należycie uzasadniony przypadek w rozumieniu pkt 5 załącznika II do rozporządzenia (UE) nr 1303/2013 i przedstawić wniosek o zmianę programu operacyjnego zgodnie ze zwykłą procedurą zmiany programu operacyjnego:</w:t>
      </w:r>
    </w:p>
    <w:p w:rsidR="00D44975" w:rsidRPr="00F95BB7" w:rsidRDefault="00D44975" w:rsidP="00BB5A64">
      <w:pPr>
        <w:spacing w:before="120" w:after="120" w:line="240" w:lineRule="auto"/>
        <w:ind w:left="357"/>
        <w:contextualSpacing/>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3575D" w:rsidRPr="00DE15D1" w:rsidTr="00977ACF">
        <w:tc>
          <w:tcPr>
            <w:tcW w:w="9212" w:type="dxa"/>
            <w:shd w:val="clear" w:color="auto" w:fill="auto"/>
          </w:tcPr>
          <w:p w:rsidR="0043575D" w:rsidRPr="00DE15D1" w:rsidRDefault="0043575D" w:rsidP="00977ACF">
            <w:pPr>
              <w:numPr>
                <w:ilvl w:val="0"/>
                <w:numId w:val="3"/>
              </w:numPr>
              <w:autoSpaceDE w:val="0"/>
              <w:autoSpaceDN w:val="0"/>
              <w:adjustRightInd w:val="0"/>
              <w:spacing w:after="120" w:line="240" w:lineRule="auto"/>
              <w:ind w:left="0" w:firstLine="0"/>
              <w:jc w:val="both"/>
              <w:rPr>
                <w:rFonts w:cs="Calibri"/>
                <w:bCs/>
                <w:sz w:val="20"/>
                <w:szCs w:val="20"/>
                <w:lang w:eastAsia="pl-PL"/>
              </w:rPr>
            </w:pPr>
            <w:r w:rsidRPr="00DE15D1">
              <w:rPr>
                <w:rFonts w:cs="Calibri"/>
                <w:bCs/>
                <w:sz w:val="20"/>
                <w:szCs w:val="20"/>
                <w:lang w:eastAsia="pl-PL"/>
              </w:rPr>
              <w:t xml:space="preserve">Ryzyko związane z przyjętym założeniem, że środki z POPC będą przeznaczone wyłącznie na dofinansowanie różnicy pomiędzy wartością, jaką gotów jest przeznaczyć operator a wartością nakładów koniecznych do podłączenia do </w:t>
            </w:r>
            <w:r w:rsidR="00F27E29">
              <w:rPr>
                <w:rFonts w:cs="Calibri"/>
                <w:bCs/>
                <w:sz w:val="20"/>
                <w:szCs w:val="20"/>
                <w:lang w:eastAsia="pl-PL"/>
              </w:rPr>
              <w:t>I</w:t>
            </w:r>
            <w:r w:rsidRPr="00DE15D1">
              <w:rPr>
                <w:rFonts w:cs="Calibri"/>
                <w:bCs/>
                <w:sz w:val="20"/>
                <w:szCs w:val="20"/>
                <w:lang w:eastAsia="pl-PL"/>
              </w:rPr>
              <w:t>nternetu jednego gospodarstwa. Innymi słowy, czy operatorzy będą skłonni do poniesienia założonych wydatków. Jeżeli przyjęte do poniesienia przez operatorów koszty okażą się nie</w:t>
            </w:r>
            <w:r>
              <w:rPr>
                <w:rFonts w:cs="Calibri"/>
                <w:bCs/>
                <w:sz w:val="20"/>
                <w:szCs w:val="20"/>
                <w:lang w:eastAsia="pl-PL"/>
              </w:rPr>
              <w:t>a</w:t>
            </w:r>
            <w:r w:rsidRPr="00DE15D1">
              <w:rPr>
                <w:rFonts w:cs="Calibri"/>
                <w:bCs/>
                <w:sz w:val="20"/>
                <w:szCs w:val="20"/>
                <w:lang w:eastAsia="pl-PL"/>
              </w:rPr>
              <w:t>kceptowalne ze względu np. na ryzyko zwrotu z inwestycji wynikające z objęcia inwestycją obszarów o niskiej gęstości zaludnienia, środki z POPC będą musiały pokryć również część inwestycji, którą z założenia ma pokryć operator. Taki scenariusz znacznie wpływa na obniżenie wyliczonych wartości docelowych.</w:t>
            </w:r>
          </w:p>
          <w:p w:rsidR="00CE48A0" w:rsidRDefault="0043575D" w:rsidP="00977ACF">
            <w:pPr>
              <w:numPr>
                <w:ilvl w:val="0"/>
                <w:numId w:val="3"/>
              </w:numPr>
              <w:autoSpaceDE w:val="0"/>
              <w:autoSpaceDN w:val="0"/>
              <w:adjustRightInd w:val="0"/>
              <w:spacing w:after="120" w:line="240" w:lineRule="auto"/>
              <w:ind w:left="0" w:firstLine="0"/>
              <w:jc w:val="both"/>
              <w:rPr>
                <w:rFonts w:cs="Calibri"/>
                <w:bCs/>
                <w:sz w:val="20"/>
                <w:szCs w:val="20"/>
                <w:lang w:eastAsia="pl-PL"/>
              </w:rPr>
            </w:pPr>
            <w:r>
              <w:rPr>
                <w:rFonts w:cs="Calibri"/>
                <w:bCs/>
                <w:sz w:val="20"/>
                <w:szCs w:val="20"/>
                <w:lang w:eastAsia="pl-PL"/>
              </w:rPr>
              <w:t xml:space="preserve">Ryzyko związane z płynnością finansową beneficjentów. Należy zauważyć, że w sytuacji gdy środki prywatne skierowane zostaną na pokrycie kosztów realizacji inwestycji </w:t>
            </w:r>
            <w:r w:rsidR="00FB252C">
              <w:rPr>
                <w:rFonts w:cs="Calibri"/>
                <w:bCs/>
                <w:sz w:val="20"/>
                <w:szCs w:val="20"/>
                <w:lang w:eastAsia="pl-PL"/>
              </w:rPr>
              <w:t>w kategoriach 1-5 (ew. na szarych lub czarnych plamach), to inwestycje na</w:t>
            </w:r>
            <w:r w:rsidR="00E85D38">
              <w:rPr>
                <w:rFonts w:cs="Calibri"/>
                <w:bCs/>
                <w:sz w:val="20"/>
                <w:szCs w:val="20"/>
                <w:lang w:eastAsia="pl-PL"/>
              </w:rPr>
              <w:t xml:space="preserve"> </w:t>
            </w:r>
            <w:r>
              <w:rPr>
                <w:rFonts w:cs="Calibri"/>
                <w:bCs/>
                <w:sz w:val="20"/>
                <w:szCs w:val="20"/>
                <w:lang w:eastAsia="pl-PL"/>
              </w:rPr>
              <w:t>terenach z obszaru gmin 6-11</w:t>
            </w:r>
            <w:r w:rsidR="00FB252C">
              <w:rPr>
                <w:rFonts w:cs="Calibri"/>
                <w:bCs/>
                <w:sz w:val="20"/>
                <w:szCs w:val="20"/>
                <w:lang w:eastAsia="pl-PL"/>
              </w:rPr>
              <w:t xml:space="preserve"> mogą zostać nie w pełni zrealizowane, pomimo dopłat ze środków publicznych.</w:t>
            </w:r>
          </w:p>
          <w:p w:rsidR="00552A2A" w:rsidRDefault="00C20CFD" w:rsidP="00B051EC">
            <w:pPr>
              <w:numPr>
                <w:ilvl w:val="0"/>
                <w:numId w:val="3"/>
              </w:numPr>
              <w:autoSpaceDE w:val="0"/>
              <w:autoSpaceDN w:val="0"/>
              <w:adjustRightInd w:val="0"/>
              <w:spacing w:after="120" w:line="240" w:lineRule="auto"/>
              <w:ind w:left="0" w:firstLine="0"/>
              <w:jc w:val="both"/>
              <w:rPr>
                <w:rFonts w:cs="Calibri"/>
                <w:bCs/>
                <w:sz w:val="20"/>
                <w:szCs w:val="20"/>
                <w:lang w:eastAsia="pl-PL"/>
              </w:rPr>
            </w:pPr>
            <w:r>
              <w:rPr>
                <w:rFonts w:cs="Calibri"/>
                <w:bCs/>
                <w:sz w:val="20"/>
                <w:szCs w:val="20"/>
                <w:lang w:eastAsia="pl-PL"/>
              </w:rPr>
              <w:t>Scenariusz interwencji środków POPC w obszarach kategorii 1-5 jest możliwy w sytuacji oszczędności pojawiających się przy realizacji projektów w kategoriach 6-11, jak również w przypadku</w:t>
            </w:r>
            <w:r w:rsidR="00CE48A0">
              <w:rPr>
                <w:rFonts w:cs="Calibri"/>
                <w:bCs/>
                <w:sz w:val="20"/>
                <w:szCs w:val="20"/>
                <w:lang w:eastAsia="pl-PL"/>
              </w:rPr>
              <w:t>,</w:t>
            </w:r>
            <w:r>
              <w:rPr>
                <w:rFonts w:cs="Calibri"/>
                <w:bCs/>
                <w:sz w:val="20"/>
                <w:szCs w:val="20"/>
                <w:lang w:eastAsia="pl-PL"/>
              </w:rPr>
              <w:t xml:space="preserve"> </w:t>
            </w:r>
            <w:r w:rsidR="00CE48A0">
              <w:rPr>
                <w:rFonts w:cs="Calibri"/>
                <w:bCs/>
                <w:sz w:val="20"/>
                <w:szCs w:val="20"/>
                <w:lang w:eastAsia="pl-PL"/>
              </w:rPr>
              <w:t xml:space="preserve">gdy moduł analityczny UKE wykaże, że </w:t>
            </w:r>
            <w:r>
              <w:rPr>
                <w:rFonts w:cs="Calibri"/>
                <w:bCs/>
                <w:sz w:val="20"/>
                <w:szCs w:val="20"/>
                <w:lang w:eastAsia="pl-PL"/>
              </w:rPr>
              <w:t xml:space="preserve">lista lokalizacji </w:t>
            </w:r>
            <w:r w:rsidR="00CE48A0">
              <w:rPr>
                <w:rFonts w:cs="Calibri"/>
                <w:bCs/>
                <w:sz w:val="20"/>
                <w:szCs w:val="20"/>
                <w:lang w:eastAsia="pl-PL"/>
              </w:rPr>
              <w:t xml:space="preserve">wymagających </w:t>
            </w:r>
            <w:r w:rsidR="00EF7FA9">
              <w:rPr>
                <w:rFonts w:cs="Calibri"/>
                <w:bCs/>
                <w:sz w:val="20"/>
                <w:szCs w:val="20"/>
                <w:lang w:eastAsia="pl-PL"/>
              </w:rPr>
              <w:t xml:space="preserve">objęcia </w:t>
            </w:r>
            <w:r w:rsidR="00CE48A0">
              <w:rPr>
                <w:rFonts w:cs="Calibri"/>
                <w:bCs/>
                <w:sz w:val="20"/>
                <w:szCs w:val="20"/>
                <w:lang w:eastAsia="pl-PL"/>
              </w:rPr>
              <w:t>wsparci</w:t>
            </w:r>
            <w:r w:rsidR="00EF7FA9">
              <w:rPr>
                <w:rFonts w:cs="Calibri"/>
                <w:bCs/>
                <w:sz w:val="20"/>
                <w:szCs w:val="20"/>
                <w:lang w:eastAsia="pl-PL"/>
              </w:rPr>
              <w:t>em</w:t>
            </w:r>
            <w:r w:rsidR="00CE48A0">
              <w:rPr>
                <w:rFonts w:cs="Calibri"/>
                <w:bCs/>
                <w:sz w:val="20"/>
                <w:szCs w:val="20"/>
                <w:lang w:eastAsia="pl-PL"/>
              </w:rPr>
              <w:t xml:space="preserve"> wchodzi w obszar gmin kategorii 1-5</w:t>
            </w:r>
            <w:r>
              <w:rPr>
                <w:rFonts w:cs="Calibri"/>
                <w:bCs/>
                <w:sz w:val="20"/>
                <w:szCs w:val="20"/>
                <w:lang w:eastAsia="pl-PL"/>
              </w:rPr>
              <w:t xml:space="preserve">. </w:t>
            </w:r>
            <w:r w:rsidR="0043575D">
              <w:rPr>
                <w:rFonts w:cs="Calibri"/>
                <w:bCs/>
                <w:sz w:val="20"/>
                <w:szCs w:val="20"/>
                <w:lang w:eastAsia="pl-PL"/>
              </w:rPr>
              <w:t xml:space="preserve">Powinno to wówczas wpłynąć na zwiększenie liczby gospodarstw, które dzięki wykorzystaniu środków z POPC zostaną objęte szerokopasmowym dostępem do sieci, jednak </w:t>
            </w:r>
            <w:r w:rsidR="00EF7FA9">
              <w:rPr>
                <w:rFonts w:cs="Calibri"/>
                <w:bCs/>
                <w:sz w:val="20"/>
                <w:szCs w:val="20"/>
                <w:lang w:eastAsia="pl-PL"/>
              </w:rPr>
              <w:t xml:space="preserve">jednocześnie </w:t>
            </w:r>
            <w:r w:rsidR="0043575D">
              <w:rPr>
                <w:rFonts w:cs="Calibri"/>
                <w:bCs/>
                <w:sz w:val="20"/>
                <w:szCs w:val="20"/>
                <w:lang w:eastAsia="pl-PL"/>
              </w:rPr>
              <w:t>zmianie ulegną kategorie gmin objęte wsparciem.</w:t>
            </w:r>
            <w:r w:rsidR="006E259F">
              <w:rPr>
                <w:rFonts w:cs="Calibri"/>
                <w:bCs/>
                <w:sz w:val="20"/>
                <w:szCs w:val="20"/>
                <w:lang w:eastAsia="pl-PL"/>
              </w:rPr>
              <w:t xml:space="preserve"> </w:t>
            </w:r>
          </w:p>
          <w:p w:rsidR="00E24BA1" w:rsidRPr="00381DD1" w:rsidRDefault="00E24BA1" w:rsidP="00B051EC">
            <w:pPr>
              <w:numPr>
                <w:ilvl w:val="0"/>
                <w:numId w:val="3"/>
              </w:numPr>
              <w:autoSpaceDE w:val="0"/>
              <w:autoSpaceDN w:val="0"/>
              <w:adjustRightInd w:val="0"/>
              <w:spacing w:after="120" w:line="240" w:lineRule="auto"/>
              <w:ind w:left="0" w:firstLine="0"/>
              <w:jc w:val="both"/>
              <w:rPr>
                <w:rFonts w:cs="Calibri"/>
                <w:bCs/>
                <w:sz w:val="20"/>
                <w:szCs w:val="20"/>
                <w:lang w:eastAsia="pl-PL"/>
              </w:rPr>
            </w:pPr>
            <w:r w:rsidRPr="00597BF5">
              <w:rPr>
                <w:sz w:val="20"/>
                <w:szCs w:val="20"/>
              </w:rPr>
              <w:t xml:space="preserve">Wzrost kosztów </w:t>
            </w:r>
            <w:r w:rsidR="00181E0A" w:rsidRPr="00B051EC">
              <w:rPr>
                <w:sz w:val="20"/>
                <w:szCs w:val="20"/>
              </w:rPr>
              <w:t>realizacji</w:t>
            </w:r>
            <w:r w:rsidRPr="00597BF5">
              <w:rPr>
                <w:sz w:val="20"/>
                <w:szCs w:val="20"/>
              </w:rPr>
              <w:t xml:space="preserve"> inwestycji w wyniku interwencji na </w:t>
            </w:r>
            <w:r w:rsidR="00A7619F" w:rsidRPr="00B051EC">
              <w:rPr>
                <w:sz w:val="20"/>
                <w:szCs w:val="20"/>
              </w:rPr>
              <w:t xml:space="preserve">tzw. </w:t>
            </w:r>
            <w:r w:rsidRPr="00597BF5">
              <w:rPr>
                <w:sz w:val="20"/>
                <w:szCs w:val="20"/>
              </w:rPr>
              <w:t xml:space="preserve">obszarach </w:t>
            </w:r>
            <w:r w:rsidR="00A7619F" w:rsidRPr="00B051EC">
              <w:rPr>
                <w:sz w:val="20"/>
                <w:szCs w:val="20"/>
              </w:rPr>
              <w:t>„</w:t>
            </w:r>
            <w:r w:rsidRPr="00597BF5">
              <w:rPr>
                <w:sz w:val="20"/>
                <w:szCs w:val="20"/>
              </w:rPr>
              <w:t>białych pla</w:t>
            </w:r>
            <w:r w:rsidR="00F97E5E" w:rsidRPr="00B051EC">
              <w:rPr>
                <w:sz w:val="20"/>
                <w:szCs w:val="20"/>
              </w:rPr>
              <w:t>m</w:t>
            </w:r>
            <w:r w:rsidR="00A7619F" w:rsidRPr="00B051EC">
              <w:rPr>
                <w:sz w:val="20"/>
                <w:szCs w:val="20"/>
              </w:rPr>
              <w:t>”</w:t>
            </w:r>
            <w:r w:rsidRPr="00597BF5">
              <w:rPr>
                <w:sz w:val="20"/>
                <w:szCs w:val="20"/>
              </w:rPr>
              <w:t xml:space="preserve"> w zakresie dostępu do Internetu dla jednostek publicznych (np. szkoły, </w:t>
            </w:r>
            <w:proofErr w:type="spellStart"/>
            <w:r w:rsidRPr="00597BF5">
              <w:rPr>
                <w:sz w:val="20"/>
                <w:szCs w:val="20"/>
              </w:rPr>
              <w:t>ZOZy</w:t>
            </w:r>
            <w:proofErr w:type="spellEnd"/>
            <w:r w:rsidRPr="00597BF5">
              <w:rPr>
                <w:sz w:val="20"/>
                <w:szCs w:val="20"/>
              </w:rPr>
              <w:t>), dla których planowana jest penetracja budynkowa, wymagająca doprowadzenia przyłącza abonenckiego.</w:t>
            </w:r>
            <w:r w:rsidR="00FB252C" w:rsidRPr="00B051EC">
              <w:rPr>
                <w:sz w:val="20"/>
                <w:szCs w:val="20"/>
              </w:rPr>
              <w:t xml:space="preserve"> Tym samym zmniejszona byłaby alokacja dedykowana podłączeniu stricte gospodarst</w:t>
            </w:r>
            <w:r w:rsidR="00FB252C" w:rsidRPr="003A68AA">
              <w:rPr>
                <w:sz w:val="20"/>
                <w:szCs w:val="20"/>
              </w:rPr>
              <w:t>w domowych.</w:t>
            </w:r>
          </w:p>
          <w:p w:rsidR="0043575D" w:rsidRPr="00DE15D1" w:rsidRDefault="0043575D" w:rsidP="00977ACF">
            <w:pPr>
              <w:numPr>
                <w:ilvl w:val="0"/>
                <w:numId w:val="3"/>
              </w:numPr>
              <w:autoSpaceDE w:val="0"/>
              <w:autoSpaceDN w:val="0"/>
              <w:adjustRightInd w:val="0"/>
              <w:spacing w:after="120" w:line="240" w:lineRule="auto"/>
              <w:ind w:left="0" w:firstLine="0"/>
              <w:jc w:val="both"/>
              <w:rPr>
                <w:rFonts w:cs="Calibri"/>
                <w:bCs/>
                <w:sz w:val="20"/>
                <w:szCs w:val="20"/>
                <w:lang w:eastAsia="pl-PL"/>
              </w:rPr>
            </w:pPr>
            <w:r>
              <w:rPr>
                <w:rFonts w:cs="Calibri"/>
                <w:bCs/>
                <w:sz w:val="20"/>
                <w:szCs w:val="20"/>
                <w:lang w:eastAsia="pl-PL"/>
              </w:rPr>
              <w:t>I</w:t>
            </w:r>
            <w:r w:rsidRPr="00DE15D1">
              <w:rPr>
                <w:rFonts w:cs="Calibri"/>
                <w:bCs/>
                <w:sz w:val="20"/>
                <w:szCs w:val="20"/>
                <w:lang w:eastAsia="pl-PL"/>
              </w:rPr>
              <w:t>stnieje również możliwość wystąpienia tendencji pozytywnych, związanych z realizacją POPC i kształtowaniem się wskaźników rezultatu. Wśród nich należy wymienić migracje związane z procesami urbanizacyjnymi i przemieszczaniem się ludności z obszarów słabiej do gęściej zaludnionych, a w tym ze wsi do miast. Czynnik ten będzie powodował spadek liczby gospodarstw domowych w lokalizacjach 6+ i wzrost liczby gospodarstw w lokalizacjach kategorii 1-5</w:t>
            </w:r>
            <w:r w:rsidR="0073436E">
              <w:rPr>
                <w:rFonts w:cs="Calibri"/>
                <w:bCs/>
                <w:sz w:val="20"/>
                <w:szCs w:val="20"/>
                <w:lang w:eastAsia="pl-PL"/>
              </w:rPr>
              <w:t xml:space="preserve"> (także poprzez</w:t>
            </w:r>
            <w:r w:rsidR="00E85D38">
              <w:rPr>
                <w:rFonts w:cs="Calibri"/>
                <w:bCs/>
                <w:sz w:val="20"/>
                <w:szCs w:val="20"/>
                <w:lang w:eastAsia="pl-PL"/>
              </w:rPr>
              <w:t xml:space="preserve"> </w:t>
            </w:r>
            <w:r w:rsidR="00EF7FA9">
              <w:rPr>
                <w:rFonts w:cs="Calibri"/>
                <w:bCs/>
                <w:sz w:val="20"/>
                <w:szCs w:val="20"/>
                <w:lang w:eastAsia="pl-PL"/>
              </w:rPr>
              <w:t xml:space="preserve">migrację na tereny gdzie Internet o przepływności </w:t>
            </w:r>
            <w:r w:rsidR="00FB252C">
              <w:rPr>
                <w:rFonts w:cs="Calibri"/>
                <w:bCs/>
                <w:sz w:val="20"/>
                <w:szCs w:val="20"/>
                <w:lang w:eastAsia="pl-PL"/>
              </w:rPr>
              <w:t>co najmniej 30</w:t>
            </w:r>
            <w:r w:rsidR="00EF7FA9">
              <w:rPr>
                <w:rFonts w:cs="Calibri"/>
                <w:bCs/>
                <w:sz w:val="20"/>
                <w:szCs w:val="20"/>
                <w:lang w:eastAsia="pl-PL"/>
              </w:rPr>
              <w:t xml:space="preserve"> </w:t>
            </w:r>
            <w:proofErr w:type="spellStart"/>
            <w:r w:rsidR="00EF7FA9">
              <w:rPr>
                <w:rFonts w:cs="Calibri"/>
                <w:bCs/>
                <w:sz w:val="20"/>
                <w:szCs w:val="20"/>
                <w:lang w:eastAsia="pl-PL"/>
              </w:rPr>
              <w:t>Mb</w:t>
            </w:r>
            <w:proofErr w:type="spellEnd"/>
            <w:r w:rsidR="00EF7FA9">
              <w:rPr>
                <w:rFonts w:cs="Calibri"/>
                <w:bCs/>
                <w:sz w:val="20"/>
                <w:szCs w:val="20"/>
                <w:lang w:eastAsia="pl-PL"/>
              </w:rPr>
              <w:t>/s już istnieje</w:t>
            </w:r>
            <w:r w:rsidR="0073436E">
              <w:rPr>
                <w:rFonts w:cs="Calibri"/>
                <w:bCs/>
                <w:sz w:val="20"/>
                <w:szCs w:val="20"/>
                <w:lang w:eastAsia="pl-PL"/>
              </w:rPr>
              <w:t>)</w:t>
            </w:r>
            <w:r w:rsidRPr="00DE15D1">
              <w:rPr>
                <w:rFonts w:cs="Calibri"/>
                <w:bCs/>
                <w:sz w:val="20"/>
                <w:szCs w:val="20"/>
                <w:lang w:eastAsia="pl-PL"/>
              </w:rPr>
              <w:t xml:space="preserve">. W efekcie przyrost liczby gospodarstw domowych objętych infrastrukturą zapewniającą dostęp do </w:t>
            </w:r>
            <w:r w:rsidR="00F27E29">
              <w:rPr>
                <w:rFonts w:cs="Calibri"/>
                <w:bCs/>
                <w:sz w:val="20"/>
                <w:szCs w:val="20"/>
                <w:lang w:eastAsia="pl-PL"/>
              </w:rPr>
              <w:t>I</w:t>
            </w:r>
            <w:r w:rsidRPr="00DE15D1">
              <w:rPr>
                <w:rFonts w:cs="Calibri"/>
                <w:bCs/>
                <w:sz w:val="20"/>
                <w:szCs w:val="20"/>
                <w:lang w:eastAsia="pl-PL"/>
              </w:rPr>
              <w:t>nternetu będzie rósł szybciej i może on wynikać</w:t>
            </w:r>
            <w:r>
              <w:rPr>
                <w:rFonts w:cs="Calibri"/>
                <w:bCs/>
                <w:sz w:val="20"/>
                <w:szCs w:val="20"/>
                <w:lang w:eastAsia="pl-PL"/>
              </w:rPr>
              <w:t xml:space="preserve"> z</w:t>
            </w:r>
            <w:r w:rsidRPr="00DE15D1">
              <w:rPr>
                <w:rFonts w:cs="Calibri"/>
                <w:bCs/>
                <w:sz w:val="20"/>
                <w:szCs w:val="20"/>
                <w:lang w:eastAsia="pl-PL"/>
              </w:rPr>
              <w:t xml:space="preserve"> procesów rynkowych niezależnych od </w:t>
            </w:r>
            <w:r w:rsidR="00874505" w:rsidRPr="00DE15D1">
              <w:rPr>
                <w:rFonts w:cs="Calibri"/>
                <w:bCs/>
                <w:sz w:val="20"/>
                <w:szCs w:val="20"/>
                <w:lang w:eastAsia="pl-PL"/>
              </w:rPr>
              <w:t xml:space="preserve">udzielanego </w:t>
            </w:r>
            <w:r w:rsidRPr="00DE15D1">
              <w:rPr>
                <w:rFonts w:cs="Calibri"/>
                <w:bCs/>
                <w:sz w:val="20"/>
                <w:szCs w:val="20"/>
                <w:lang w:eastAsia="pl-PL"/>
              </w:rPr>
              <w:t xml:space="preserve">wsparcia. </w:t>
            </w:r>
          </w:p>
          <w:p w:rsidR="0043575D" w:rsidRDefault="0043575D" w:rsidP="00977ACF">
            <w:pPr>
              <w:numPr>
                <w:ilvl w:val="0"/>
                <w:numId w:val="3"/>
              </w:numPr>
              <w:autoSpaceDE w:val="0"/>
              <w:autoSpaceDN w:val="0"/>
              <w:adjustRightInd w:val="0"/>
              <w:spacing w:after="120" w:line="240" w:lineRule="auto"/>
              <w:ind w:left="0" w:firstLine="0"/>
              <w:jc w:val="both"/>
              <w:rPr>
                <w:rFonts w:cs="Calibri"/>
                <w:bCs/>
                <w:sz w:val="20"/>
                <w:szCs w:val="20"/>
                <w:lang w:eastAsia="pl-PL"/>
              </w:rPr>
            </w:pPr>
            <w:r w:rsidRPr="00DE15D1">
              <w:rPr>
                <w:rFonts w:cs="Calibri"/>
                <w:bCs/>
                <w:sz w:val="20"/>
                <w:szCs w:val="20"/>
                <w:lang w:eastAsia="pl-PL"/>
              </w:rPr>
              <w:lastRenderedPageBreak/>
              <w:t xml:space="preserve">Należy zaznaczyć, że na osiągnięcie zaplanowanych wartości wskaźników będzie miał również postęp technologiczny. Może on przyczynić się do obniżenia kosztów oraz ułatwienia wdrażania zaplanowanych działań. Z drugiej strony, w przypadku wykorzystania nowych technologii, które mogą w pierwszym okresie funkcjonowania być bardziej kosztowne </w:t>
            </w:r>
            <w:r w:rsidR="00EF7FA9">
              <w:rPr>
                <w:rFonts w:cs="Calibri"/>
                <w:bCs/>
                <w:sz w:val="20"/>
                <w:szCs w:val="20"/>
                <w:lang w:eastAsia="pl-PL"/>
              </w:rPr>
              <w:t>niż</w:t>
            </w:r>
            <w:r w:rsidRPr="00DE15D1">
              <w:rPr>
                <w:rFonts w:cs="Calibri"/>
                <w:bCs/>
                <w:sz w:val="20"/>
                <w:szCs w:val="20"/>
                <w:lang w:eastAsia="pl-PL"/>
              </w:rPr>
              <w:t xml:space="preserve"> planowan</w:t>
            </w:r>
            <w:r w:rsidR="00EF7FA9">
              <w:rPr>
                <w:rFonts w:cs="Calibri"/>
                <w:bCs/>
                <w:sz w:val="20"/>
                <w:szCs w:val="20"/>
                <w:lang w:eastAsia="pl-PL"/>
              </w:rPr>
              <w:t>e</w:t>
            </w:r>
            <w:r w:rsidRPr="00DE15D1">
              <w:rPr>
                <w:rFonts w:cs="Calibri"/>
                <w:bCs/>
                <w:sz w:val="20"/>
                <w:szCs w:val="20"/>
                <w:lang w:eastAsia="pl-PL"/>
              </w:rPr>
              <w:t xml:space="preserve"> obecnie rozwiąza</w:t>
            </w:r>
            <w:r w:rsidR="00EF7FA9">
              <w:rPr>
                <w:rFonts w:cs="Calibri"/>
                <w:bCs/>
                <w:sz w:val="20"/>
                <w:szCs w:val="20"/>
                <w:lang w:eastAsia="pl-PL"/>
              </w:rPr>
              <w:t>nia</w:t>
            </w:r>
            <w:r w:rsidRPr="00DE15D1">
              <w:rPr>
                <w:rFonts w:cs="Calibri"/>
                <w:bCs/>
                <w:sz w:val="20"/>
                <w:szCs w:val="20"/>
                <w:lang w:eastAsia="pl-PL"/>
              </w:rPr>
              <w:t xml:space="preserve">, z punktu widzenia optymalizacji rozwiązań ich wykorzystanie </w:t>
            </w:r>
            <w:r>
              <w:rPr>
                <w:rFonts w:cs="Calibri"/>
                <w:bCs/>
                <w:sz w:val="20"/>
                <w:szCs w:val="20"/>
                <w:lang w:eastAsia="pl-PL"/>
              </w:rPr>
              <w:t xml:space="preserve">może </w:t>
            </w:r>
            <w:r w:rsidRPr="00DE15D1">
              <w:rPr>
                <w:rFonts w:cs="Calibri"/>
                <w:bCs/>
                <w:sz w:val="20"/>
                <w:szCs w:val="20"/>
                <w:lang w:eastAsia="pl-PL"/>
              </w:rPr>
              <w:t xml:space="preserve">być bardziej racjonalne (np. pod względem uzyskanej przepustowości), </w:t>
            </w:r>
            <w:r w:rsidR="00EF7FA9">
              <w:rPr>
                <w:rFonts w:cs="Calibri"/>
                <w:bCs/>
                <w:sz w:val="20"/>
                <w:szCs w:val="20"/>
                <w:lang w:eastAsia="pl-PL"/>
              </w:rPr>
              <w:t xml:space="preserve">a </w:t>
            </w:r>
            <w:r w:rsidRPr="00DE15D1">
              <w:rPr>
                <w:rFonts w:cs="Calibri"/>
                <w:bCs/>
                <w:sz w:val="20"/>
                <w:szCs w:val="20"/>
                <w:lang w:eastAsia="pl-PL"/>
              </w:rPr>
              <w:t>koszty interwencji mogą wzrosnąć.</w:t>
            </w:r>
            <w:r>
              <w:rPr>
                <w:rFonts w:cs="Calibri"/>
                <w:bCs/>
                <w:sz w:val="20"/>
                <w:szCs w:val="20"/>
                <w:lang w:eastAsia="pl-PL"/>
              </w:rPr>
              <w:t xml:space="preserve"> </w:t>
            </w:r>
            <w:r w:rsidRPr="00F06EF9">
              <w:rPr>
                <w:rFonts w:cs="Calibri"/>
                <w:bCs/>
                <w:sz w:val="20"/>
                <w:szCs w:val="20"/>
                <w:lang w:eastAsia="pl-PL"/>
              </w:rPr>
              <w:t>Zgodnie z badaniem zrealiz</w:t>
            </w:r>
            <w:r>
              <w:rPr>
                <w:rFonts w:cs="Calibri"/>
                <w:bCs/>
                <w:sz w:val="20"/>
                <w:szCs w:val="20"/>
                <w:lang w:eastAsia="pl-PL"/>
              </w:rPr>
              <w:t>owanym przez Zespół</w:t>
            </w:r>
            <w:r w:rsidRPr="00F06EF9">
              <w:rPr>
                <w:rFonts w:cs="Calibri"/>
                <w:bCs/>
                <w:sz w:val="20"/>
                <w:szCs w:val="20"/>
                <w:lang w:eastAsia="pl-PL"/>
              </w:rPr>
              <w:t xml:space="preserve"> </w:t>
            </w:r>
            <w:proofErr w:type="spellStart"/>
            <w:r w:rsidRPr="00F06EF9">
              <w:rPr>
                <w:rFonts w:cs="Calibri"/>
                <w:bCs/>
                <w:sz w:val="20"/>
                <w:szCs w:val="20"/>
                <w:lang w:eastAsia="pl-PL"/>
              </w:rPr>
              <w:t>Accreo</w:t>
            </w:r>
            <w:proofErr w:type="spellEnd"/>
            <w:r w:rsidRPr="00F06EF9">
              <w:rPr>
                <w:rFonts w:cs="Calibri"/>
                <w:bCs/>
                <w:sz w:val="20"/>
                <w:szCs w:val="20"/>
                <w:lang w:eastAsia="pl-PL"/>
              </w:rPr>
              <w:t xml:space="preserve"> </w:t>
            </w:r>
            <w:proofErr w:type="spellStart"/>
            <w:r w:rsidRPr="00F06EF9">
              <w:rPr>
                <w:rFonts w:cs="Calibri"/>
                <w:bCs/>
                <w:sz w:val="20"/>
                <w:szCs w:val="20"/>
                <w:lang w:eastAsia="pl-PL"/>
              </w:rPr>
              <w:t>Taxand</w:t>
            </w:r>
            <w:proofErr w:type="spellEnd"/>
            <w:r w:rsidRPr="00F06EF9">
              <w:rPr>
                <w:rFonts w:cs="Calibri"/>
                <w:bCs/>
                <w:sz w:val="20"/>
                <w:szCs w:val="20"/>
                <w:lang w:eastAsia="pl-PL"/>
              </w:rPr>
              <w:t xml:space="preserve"> na zlecenie UKE</w:t>
            </w:r>
            <w:r>
              <w:rPr>
                <w:rStyle w:val="Odwoanieprzypisudolnego"/>
                <w:rFonts w:cs="Calibri"/>
                <w:bCs/>
                <w:sz w:val="20"/>
                <w:szCs w:val="20"/>
                <w:lang w:eastAsia="pl-PL"/>
              </w:rPr>
              <w:footnoteReference w:id="13"/>
            </w:r>
            <w:r w:rsidRPr="00F06EF9">
              <w:rPr>
                <w:rFonts w:cs="Calibri"/>
                <w:bCs/>
                <w:sz w:val="20"/>
                <w:szCs w:val="20"/>
                <w:lang w:eastAsia="pl-PL"/>
              </w:rPr>
              <w:t xml:space="preserve"> beneficjenci wskazywali m.in. </w:t>
            </w:r>
            <w:r>
              <w:rPr>
                <w:rFonts w:cs="Calibri"/>
                <w:bCs/>
                <w:sz w:val="20"/>
                <w:szCs w:val="20"/>
                <w:lang w:eastAsia="pl-PL"/>
              </w:rPr>
              <w:t xml:space="preserve">na </w:t>
            </w:r>
            <w:r w:rsidRPr="00F06EF9">
              <w:rPr>
                <w:rFonts w:cs="Calibri"/>
                <w:bCs/>
                <w:sz w:val="20"/>
                <w:szCs w:val="20"/>
                <w:lang w:eastAsia="pl-PL"/>
              </w:rPr>
              <w:t>trudności z osiągnieciem zaplanowanych wskaźników rezultatu wynikające z szybkiego postępu technologicznego i wzrostu kosztów realizacji projektu z wykorzystaniem najlepszych dostępnych rozwiązań</w:t>
            </w:r>
            <w:r>
              <w:rPr>
                <w:rFonts w:cs="Calibri"/>
                <w:bCs/>
                <w:sz w:val="20"/>
                <w:szCs w:val="20"/>
                <w:lang w:eastAsia="pl-PL"/>
              </w:rPr>
              <w:t>.</w:t>
            </w:r>
          </w:p>
          <w:p w:rsidR="0043575D" w:rsidRPr="00890A92" w:rsidRDefault="0043575D" w:rsidP="00977ACF">
            <w:pPr>
              <w:numPr>
                <w:ilvl w:val="0"/>
                <w:numId w:val="3"/>
              </w:numPr>
              <w:autoSpaceDE w:val="0"/>
              <w:autoSpaceDN w:val="0"/>
              <w:adjustRightInd w:val="0"/>
              <w:spacing w:after="120" w:line="240" w:lineRule="auto"/>
              <w:ind w:left="0" w:firstLine="0"/>
              <w:jc w:val="both"/>
              <w:rPr>
                <w:rFonts w:cs="Calibri"/>
                <w:bCs/>
                <w:sz w:val="20"/>
                <w:szCs w:val="20"/>
                <w:lang w:eastAsia="pl-PL"/>
              </w:rPr>
            </w:pPr>
            <w:r>
              <w:rPr>
                <w:rFonts w:cs="Calibri"/>
                <w:bCs/>
                <w:sz w:val="20"/>
                <w:szCs w:val="20"/>
                <w:lang w:eastAsia="pl-PL"/>
              </w:rPr>
              <w:t xml:space="preserve">Zgodnie z przytoczonym raportem beneficjenci wskazali również na </w:t>
            </w:r>
            <w:r w:rsidRPr="00890A92">
              <w:rPr>
                <w:rFonts w:cs="Calibri"/>
                <w:bCs/>
                <w:sz w:val="20"/>
                <w:szCs w:val="20"/>
                <w:lang w:eastAsia="pl-PL"/>
              </w:rPr>
              <w:t>trudności w pozyskiwaniu pozwoleń niezbędnych dla uruchomienia procesów inwestycyjnych (np. pozwolenie na budowę), dokumentów potwierdzających finansowanie projektu (np. umów kredytowych) czy też utrudnień związanych z błędną identyfikacją „białych / szarych” plam wskazanych we wniosku o dofinansowanie (np. okazuje się, że na dany obszar inny wniosek otrzymał dofinansowanie, więc wniosek musi zostać zweryfikowany poprzez usunięcie „wątpliwego” obszaru – to wydłuża okres podpisywania umowy o dofinansowanie).</w:t>
            </w:r>
          </w:p>
          <w:p w:rsidR="0043575D" w:rsidRPr="00DE15D1" w:rsidRDefault="0043575D" w:rsidP="00977ACF">
            <w:pPr>
              <w:numPr>
                <w:ilvl w:val="0"/>
                <w:numId w:val="3"/>
              </w:numPr>
              <w:autoSpaceDE w:val="0"/>
              <w:autoSpaceDN w:val="0"/>
              <w:adjustRightInd w:val="0"/>
              <w:spacing w:after="120" w:line="240" w:lineRule="auto"/>
              <w:ind w:left="0" w:firstLine="0"/>
              <w:jc w:val="both"/>
              <w:rPr>
                <w:rFonts w:cs="Calibri"/>
                <w:bCs/>
                <w:sz w:val="20"/>
                <w:szCs w:val="20"/>
                <w:lang w:eastAsia="pl-PL"/>
              </w:rPr>
            </w:pPr>
            <w:r>
              <w:rPr>
                <w:rFonts w:cs="Calibri"/>
                <w:bCs/>
                <w:sz w:val="20"/>
                <w:szCs w:val="20"/>
                <w:lang w:eastAsia="pl-PL"/>
              </w:rPr>
              <w:t>Jak wskazują autorzy ekspertyzy</w:t>
            </w:r>
            <w:r w:rsidR="00EF7FA9">
              <w:rPr>
                <w:rFonts w:cs="Calibri"/>
                <w:bCs/>
                <w:sz w:val="20"/>
                <w:szCs w:val="20"/>
                <w:lang w:eastAsia="pl-PL"/>
              </w:rPr>
              <w:t xml:space="preserve"> na której oparto </w:t>
            </w:r>
            <w:r w:rsidR="00194A20">
              <w:rPr>
                <w:rFonts w:cs="Calibri"/>
                <w:bCs/>
                <w:sz w:val="20"/>
                <w:szCs w:val="20"/>
                <w:lang w:eastAsia="pl-PL"/>
              </w:rPr>
              <w:t>analizę wartości wskaźników dla osi priorytetowej</w:t>
            </w:r>
            <w:r>
              <w:rPr>
                <w:rFonts w:cs="Calibri"/>
                <w:bCs/>
                <w:sz w:val="20"/>
                <w:szCs w:val="20"/>
                <w:lang w:eastAsia="pl-PL"/>
              </w:rPr>
              <w:t>, wyniki raportu zostały uzyskane przy dość optymistycznych założeniach dotyczących wykorzystania istniejącej infrastruktury. Trzeba w związku z tym przyjąć, że analiza wyznacza minimalny poziom wsparcia, który w rzeczywistości może być wyższy o 5-15%.</w:t>
            </w:r>
          </w:p>
          <w:p w:rsidR="0043575D" w:rsidRDefault="0043575D" w:rsidP="00977ACF">
            <w:pPr>
              <w:numPr>
                <w:ilvl w:val="0"/>
                <w:numId w:val="3"/>
              </w:numPr>
              <w:autoSpaceDE w:val="0"/>
              <w:autoSpaceDN w:val="0"/>
              <w:adjustRightInd w:val="0"/>
              <w:spacing w:after="120" w:line="240" w:lineRule="auto"/>
              <w:ind w:left="0" w:firstLine="0"/>
              <w:jc w:val="both"/>
              <w:rPr>
                <w:rFonts w:cs="Calibri"/>
                <w:bCs/>
                <w:i/>
                <w:sz w:val="20"/>
                <w:szCs w:val="20"/>
                <w:lang w:eastAsia="pl-PL"/>
              </w:rPr>
            </w:pPr>
            <w:r w:rsidRPr="00DE15D1">
              <w:rPr>
                <w:rFonts w:cs="Calibri"/>
                <w:bCs/>
                <w:sz w:val="20"/>
                <w:szCs w:val="20"/>
                <w:lang w:eastAsia="pl-PL"/>
              </w:rPr>
              <w:t>Należy wskazać czynniki mające wpływ na nieosiągnięcie celów bądź przekroczenie celów z uwagi na zmia</w:t>
            </w:r>
            <w:r>
              <w:rPr>
                <w:rFonts w:cs="Calibri"/>
                <w:bCs/>
                <w:sz w:val="20"/>
                <w:szCs w:val="20"/>
                <w:lang w:eastAsia="pl-PL"/>
              </w:rPr>
              <w:t>ny kosztów realizacji projektów czy</w:t>
            </w:r>
            <w:r w:rsidRPr="00DE15D1">
              <w:rPr>
                <w:rFonts w:cs="Calibri"/>
                <w:bCs/>
                <w:sz w:val="20"/>
                <w:szCs w:val="20"/>
                <w:lang w:eastAsia="pl-PL"/>
              </w:rPr>
              <w:t xml:space="preserve"> zmiany alokacji poprzez wahania kursowe </w:t>
            </w:r>
            <w:r>
              <w:rPr>
                <w:rFonts w:cs="Calibri"/>
                <w:bCs/>
                <w:sz w:val="20"/>
                <w:szCs w:val="20"/>
                <w:lang w:eastAsia="pl-PL"/>
              </w:rPr>
              <w:t>EUR</w:t>
            </w:r>
            <w:r w:rsidRPr="00DE15D1">
              <w:rPr>
                <w:rFonts w:cs="Calibri"/>
                <w:bCs/>
                <w:sz w:val="20"/>
                <w:szCs w:val="20"/>
                <w:lang w:eastAsia="pl-PL"/>
              </w:rPr>
              <w:t>/PLN.</w:t>
            </w:r>
          </w:p>
          <w:p w:rsidR="0043575D" w:rsidRDefault="0043575D" w:rsidP="00977ACF">
            <w:pPr>
              <w:numPr>
                <w:ilvl w:val="0"/>
                <w:numId w:val="3"/>
              </w:numPr>
              <w:autoSpaceDE w:val="0"/>
              <w:autoSpaceDN w:val="0"/>
              <w:adjustRightInd w:val="0"/>
              <w:spacing w:after="120" w:line="240" w:lineRule="auto"/>
              <w:ind w:left="0" w:firstLine="0"/>
              <w:jc w:val="both"/>
              <w:rPr>
                <w:rFonts w:cs="Calibri"/>
                <w:bCs/>
                <w:i/>
                <w:sz w:val="20"/>
                <w:szCs w:val="20"/>
                <w:lang w:eastAsia="pl-PL"/>
              </w:rPr>
            </w:pPr>
            <w:r>
              <w:rPr>
                <w:sz w:val="20"/>
                <w:szCs w:val="16"/>
              </w:rPr>
              <w:t>Wpływ</w:t>
            </w:r>
            <w:r w:rsidRPr="00AA7E1F">
              <w:rPr>
                <w:sz w:val="20"/>
                <w:szCs w:val="16"/>
              </w:rPr>
              <w:t xml:space="preserve"> czynników zewnętrznych na postępy w projekcie, takich jak konieczność uchwalenia nowych aktów prawnych i zmiany w już obowiązujących przepisach, zmiany w otoczeniu organizacyjnym projektu, przeciągające się procedury zamówień publicznych</w:t>
            </w:r>
            <w:r>
              <w:rPr>
                <w:sz w:val="20"/>
                <w:szCs w:val="16"/>
              </w:rPr>
              <w:t xml:space="preserve"> </w:t>
            </w:r>
            <w:r w:rsidRPr="008A441B">
              <w:rPr>
                <w:rFonts w:cs="Calibri"/>
                <w:sz w:val="20"/>
                <w:szCs w:val="20"/>
                <w:lang w:eastAsia="pl-PL"/>
              </w:rPr>
              <w:t>(konieczność powtórzenia postępowania ze względu na brak ofert</w:t>
            </w:r>
            <w:r>
              <w:rPr>
                <w:rFonts w:cs="Calibri"/>
                <w:sz w:val="20"/>
                <w:szCs w:val="20"/>
                <w:lang w:eastAsia="pl-PL"/>
              </w:rPr>
              <w:t>)</w:t>
            </w:r>
            <w:r w:rsidRPr="00AA7E1F">
              <w:rPr>
                <w:sz w:val="20"/>
                <w:szCs w:val="16"/>
              </w:rPr>
              <w:t>, itd.</w:t>
            </w:r>
          </w:p>
          <w:p w:rsidR="0043575D" w:rsidRPr="00227FE0" w:rsidRDefault="0043575D" w:rsidP="003C1278">
            <w:pPr>
              <w:numPr>
                <w:ilvl w:val="0"/>
                <w:numId w:val="3"/>
              </w:numPr>
              <w:autoSpaceDE w:val="0"/>
              <w:autoSpaceDN w:val="0"/>
              <w:adjustRightInd w:val="0"/>
              <w:spacing w:after="0" w:line="240" w:lineRule="auto"/>
              <w:ind w:left="0" w:firstLine="0"/>
              <w:jc w:val="both"/>
              <w:rPr>
                <w:rFonts w:cs="Calibri"/>
                <w:bCs/>
                <w:i/>
                <w:sz w:val="20"/>
                <w:szCs w:val="20"/>
                <w:lang w:eastAsia="pl-PL"/>
              </w:rPr>
            </w:pPr>
            <w:r w:rsidRPr="008A441B">
              <w:rPr>
                <w:rFonts w:cs="Calibri"/>
                <w:sz w:val="20"/>
                <w:szCs w:val="20"/>
                <w:lang w:eastAsia="pl-PL"/>
              </w:rPr>
              <w:t>Zmiany harmonogramów realizacji projektów</w:t>
            </w:r>
            <w:r>
              <w:rPr>
                <w:rFonts w:cs="Calibri"/>
                <w:sz w:val="20"/>
                <w:szCs w:val="20"/>
                <w:lang w:eastAsia="pl-PL"/>
              </w:rPr>
              <w:t>.</w:t>
            </w:r>
          </w:p>
          <w:p w:rsidR="00194A20" w:rsidRPr="00227FE0" w:rsidRDefault="00194A20" w:rsidP="003C1278">
            <w:pPr>
              <w:numPr>
                <w:ilvl w:val="0"/>
                <w:numId w:val="3"/>
              </w:numPr>
              <w:autoSpaceDE w:val="0"/>
              <w:autoSpaceDN w:val="0"/>
              <w:adjustRightInd w:val="0"/>
              <w:spacing w:after="0" w:line="240" w:lineRule="auto"/>
              <w:ind w:left="0" w:firstLine="0"/>
              <w:jc w:val="both"/>
              <w:rPr>
                <w:rFonts w:cs="Calibri"/>
                <w:bCs/>
                <w:i/>
                <w:sz w:val="20"/>
                <w:szCs w:val="20"/>
                <w:lang w:eastAsia="pl-PL"/>
              </w:rPr>
            </w:pPr>
            <w:r>
              <w:rPr>
                <w:rFonts w:cs="Calibri"/>
                <w:sz w:val="20"/>
                <w:szCs w:val="20"/>
                <w:lang w:eastAsia="pl-PL"/>
              </w:rPr>
              <w:t>Przedłużający się czas na przyjęcie modelu interwencji oraz niezbędnego do tego modelu analitycznego</w:t>
            </w:r>
          </w:p>
          <w:p w:rsidR="00194A20" w:rsidRPr="008A441B" w:rsidRDefault="00194A20" w:rsidP="003C1278">
            <w:pPr>
              <w:numPr>
                <w:ilvl w:val="0"/>
                <w:numId w:val="3"/>
              </w:numPr>
              <w:autoSpaceDE w:val="0"/>
              <w:autoSpaceDN w:val="0"/>
              <w:adjustRightInd w:val="0"/>
              <w:spacing w:after="0" w:line="240" w:lineRule="auto"/>
              <w:ind w:left="0" w:firstLine="0"/>
              <w:jc w:val="both"/>
              <w:rPr>
                <w:rFonts w:cs="Calibri"/>
                <w:bCs/>
                <w:i/>
                <w:sz w:val="20"/>
                <w:szCs w:val="20"/>
                <w:lang w:eastAsia="pl-PL"/>
              </w:rPr>
            </w:pPr>
            <w:r>
              <w:rPr>
                <w:rFonts w:cs="Calibri"/>
                <w:sz w:val="20"/>
                <w:szCs w:val="20"/>
                <w:lang w:eastAsia="pl-PL"/>
              </w:rPr>
              <w:t xml:space="preserve">Niewykluczona na obecną chwile, a być może niezbędna ze względu na przyjęty model interwencji, notyfikacja programu pomocowego (szczególnie w zakresie wartości pośrednich wskaźników) </w:t>
            </w:r>
          </w:p>
        </w:tc>
      </w:tr>
    </w:tbl>
    <w:p w:rsidR="00C75F22" w:rsidRDefault="00C75F22" w:rsidP="00C75F22">
      <w:pPr>
        <w:spacing w:before="120" w:after="120"/>
        <w:ind w:left="360"/>
        <w:contextualSpacing/>
        <w:jc w:val="both"/>
        <w:rPr>
          <w:sz w:val="20"/>
          <w:szCs w:val="20"/>
        </w:rPr>
      </w:pPr>
    </w:p>
    <w:p w:rsidR="00B65C99" w:rsidRDefault="00B65C99" w:rsidP="003C1278">
      <w:pPr>
        <w:spacing w:before="120" w:after="120"/>
        <w:rPr>
          <w:b/>
          <w:bCs/>
          <w:noProof/>
        </w:rPr>
        <w:sectPr w:rsidR="00B65C99" w:rsidSect="0043575D">
          <w:pgSz w:w="11906" w:h="16838" w:code="9"/>
          <w:pgMar w:top="1418" w:right="1418" w:bottom="1418" w:left="1418" w:header="709" w:footer="709" w:gutter="0"/>
          <w:cols w:space="708"/>
          <w:docGrid w:linePitch="360"/>
        </w:sectPr>
      </w:pPr>
    </w:p>
    <w:p w:rsidR="00DE0F26" w:rsidRPr="009812F7" w:rsidRDefault="00AC3726" w:rsidP="00BB5A64">
      <w:pPr>
        <w:pStyle w:val="Nagwek2"/>
        <w:rPr>
          <w:noProof/>
        </w:rPr>
      </w:pPr>
      <w:bookmarkStart w:id="16" w:name="_Toc401825900"/>
      <w:r w:rsidRPr="009812F7">
        <w:rPr>
          <w:noProof/>
        </w:rPr>
        <w:lastRenderedPageBreak/>
        <w:t>Oś priorytetowa</w:t>
      </w:r>
      <w:r w:rsidR="00441360">
        <w:rPr>
          <w:noProof/>
        </w:rPr>
        <w:t xml:space="preserve"> </w:t>
      </w:r>
      <w:r w:rsidR="0067073E">
        <w:rPr>
          <w:noProof/>
        </w:rPr>
        <w:t>II.</w:t>
      </w:r>
      <w:r w:rsidRPr="009812F7">
        <w:rPr>
          <w:noProof/>
        </w:rPr>
        <w:t xml:space="preserve"> </w:t>
      </w:r>
      <w:r w:rsidR="00000E14">
        <w:rPr>
          <w:noProof/>
        </w:rPr>
        <w:t>E-</w:t>
      </w:r>
      <w:r w:rsidR="003505E8">
        <w:rPr>
          <w:noProof/>
        </w:rPr>
        <w:t>A</w:t>
      </w:r>
      <w:r w:rsidR="00000E14">
        <w:rPr>
          <w:noProof/>
        </w:rPr>
        <w:t>dministracja, otwarty rząd</w:t>
      </w:r>
      <w:bookmarkEnd w:id="6"/>
      <w:bookmarkEnd w:id="16"/>
    </w:p>
    <w:p w:rsidR="00DE0F26" w:rsidRDefault="00DE0F26" w:rsidP="00BB5A64">
      <w:pPr>
        <w:pStyle w:val="Legenda"/>
        <w:keepNext/>
      </w:pPr>
      <w:bookmarkStart w:id="17" w:name="_Toc401826764"/>
      <w:r>
        <w:t xml:space="preserve">Tabela </w:t>
      </w:r>
      <w:r w:rsidR="00050B55">
        <w:fldChar w:fldCharType="begin"/>
      </w:r>
      <w:r w:rsidR="00050B55">
        <w:instrText xml:space="preserve"> SEQ Tabela \* ARABIC </w:instrText>
      </w:r>
      <w:r w:rsidR="00050B55">
        <w:fldChar w:fldCharType="separate"/>
      </w:r>
      <w:r w:rsidR="002570DE">
        <w:rPr>
          <w:noProof/>
        </w:rPr>
        <w:t>11</w:t>
      </w:r>
      <w:r w:rsidR="00050B55">
        <w:rPr>
          <w:noProof/>
        </w:rPr>
        <w:fldChar w:fldCharType="end"/>
      </w:r>
      <w:r>
        <w:t xml:space="preserve"> </w:t>
      </w:r>
      <w:r w:rsidRPr="000E77DA">
        <w:t xml:space="preserve">- Wskaźniki wprowadzone do ram wykonania w ramach </w:t>
      </w:r>
      <w:r w:rsidR="00317FC4">
        <w:t>o</w:t>
      </w:r>
      <w:r w:rsidR="00317FC4" w:rsidRPr="000E77DA">
        <w:t xml:space="preserve">si </w:t>
      </w:r>
      <w:r w:rsidRPr="000E77DA">
        <w:t xml:space="preserve">priorytetowej </w:t>
      </w:r>
      <w:r>
        <w:t>I</w:t>
      </w:r>
      <w:r w:rsidRPr="000E77DA">
        <w:t>I</w:t>
      </w:r>
      <w:bookmarkEnd w:id="17"/>
    </w:p>
    <w:tbl>
      <w:tblPr>
        <w:tblW w:w="5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411"/>
        <w:gridCol w:w="566"/>
        <w:gridCol w:w="1702"/>
        <w:gridCol w:w="1134"/>
        <w:gridCol w:w="848"/>
        <w:gridCol w:w="991"/>
        <w:gridCol w:w="426"/>
        <w:gridCol w:w="426"/>
        <w:gridCol w:w="1512"/>
        <w:gridCol w:w="476"/>
        <w:gridCol w:w="426"/>
        <w:gridCol w:w="1562"/>
        <w:gridCol w:w="1337"/>
        <w:gridCol w:w="1547"/>
      </w:tblGrid>
      <w:tr w:rsidR="0046457D" w:rsidRPr="00B346A5" w:rsidTr="00BB5A64">
        <w:trPr>
          <w:trHeight w:val="1311"/>
          <w:jc w:val="center"/>
        </w:trPr>
        <w:tc>
          <w:tcPr>
            <w:tcW w:w="162"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Oś priorytetowa</w:t>
            </w:r>
          </w:p>
        </w:tc>
        <w:tc>
          <w:tcPr>
            <w:tcW w:w="759"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Typ wskaźnika (KEW, wskaźnik  finansowy, produktu, lub jeśli właściwe – wskaźnik rezultatu)</w:t>
            </w:r>
          </w:p>
        </w:tc>
        <w:tc>
          <w:tcPr>
            <w:tcW w:w="178"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Nr identyfikacyjny.</w:t>
            </w:r>
          </w:p>
        </w:tc>
        <w:tc>
          <w:tcPr>
            <w:tcW w:w="536"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Wskaźnik lub KEW</w:t>
            </w:r>
          </w:p>
        </w:tc>
        <w:tc>
          <w:tcPr>
            <w:tcW w:w="357"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Jednostka pomiaru (w stosownych przypadkach)</w:t>
            </w:r>
          </w:p>
        </w:tc>
        <w:tc>
          <w:tcPr>
            <w:tcW w:w="267"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Fundusz</w:t>
            </w:r>
          </w:p>
        </w:tc>
        <w:tc>
          <w:tcPr>
            <w:tcW w:w="312"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Kategoria regionu</w:t>
            </w:r>
          </w:p>
        </w:tc>
        <w:tc>
          <w:tcPr>
            <w:tcW w:w="744" w:type="pct"/>
            <w:gridSpan w:val="3"/>
            <w:shd w:val="clear" w:color="auto" w:fill="8DB3E2"/>
          </w:tcPr>
          <w:p w:rsidR="00AC3726" w:rsidRPr="000A447A" w:rsidRDefault="00AC3726" w:rsidP="00DD7E68">
            <w:pPr>
              <w:spacing w:before="60" w:after="60" w:line="240" w:lineRule="auto"/>
              <w:rPr>
                <w:sz w:val="18"/>
                <w:szCs w:val="18"/>
              </w:rPr>
            </w:pPr>
            <w:r w:rsidRPr="000A447A">
              <w:rPr>
                <w:sz w:val="18"/>
                <w:szCs w:val="18"/>
              </w:rPr>
              <w:t>Cel pośredni (2018)</w:t>
            </w:r>
          </w:p>
        </w:tc>
        <w:tc>
          <w:tcPr>
            <w:tcW w:w="776" w:type="pct"/>
            <w:gridSpan w:val="3"/>
            <w:shd w:val="clear" w:color="auto" w:fill="8DB3E2"/>
          </w:tcPr>
          <w:p w:rsidR="00AC3726" w:rsidRPr="000A447A" w:rsidRDefault="00AC3726" w:rsidP="00DD7E68">
            <w:pPr>
              <w:spacing w:before="60" w:after="60" w:line="240" w:lineRule="auto"/>
              <w:rPr>
                <w:sz w:val="18"/>
                <w:szCs w:val="18"/>
              </w:rPr>
            </w:pPr>
            <w:r w:rsidRPr="000A447A">
              <w:rPr>
                <w:sz w:val="18"/>
                <w:szCs w:val="18"/>
              </w:rPr>
              <w:t>Cel końcowy (2023)</w:t>
            </w:r>
            <w:r w:rsidRPr="000A447A">
              <w:rPr>
                <w:b/>
                <w:sz w:val="18"/>
                <w:szCs w:val="18"/>
                <w:vertAlign w:val="superscript"/>
              </w:rPr>
              <w:footnoteReference w:id="14"/>
            </w:r>
          </w:p>
        </w:tc>
        <w:tc>
          <w:tcPr>
            <w:tcW w:w="421"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Źródło danych</w:t>
            </w:r>
          </w:p>
        </w:tc>
        <w:tc>
          <w:tcPr>
            <w:tcW w:w="487" w:type="pct"/>
            <w:vMerge w:val="restart"/>
            <w:shd w:val="clear" w:color="auto" w:fill="8DB3E2"/>
          </w:tcPr>
          <w:p w:rsidR="00AC3726" w:rsidRPr="000A447A" w:rsidRDefault="00AC3726" w:rsidP="00DD7E68">
            <w:pPr>
              <w:spacing w:before="60" w:after="60" w:line="240" w:lineRule="auto"/>
              <w:rPr>
                <w:sz w:val="18"/>
                <w:szCs w:val="18"/>
              </w:rPr>
            </w:pPr>
            <w:r w:rsidRPr="000A447A">
              <w:rPr>
                <w:sz w:val="18"/>
                <w:szCs w:val="18"/>
              </w:rPr>
              <w:t>Wyjaśnienie adekwatności wskaźnika (w stosownych przypadkach)</w:t>
            </w:r>
            <w:r w:rsidRPr="000A447A">
              <w:rPr>
                <w:b/>
                <w:sz w:val="18"/>
                <w:szCs w:val="18"/>
                <w:vertAlign w:val="superscript"/>
              </w:rPr>
              <w:footnoteReference w:id="15"/>
            </w:r>
          </w:p>
        </w:tc>
      </w:tr>
      <w:tr w:rsidR="0046457D" w:rsidRPr="00B346A5" w:rsidTr="00BB5A64">
        <w:trPr>
          <w:trHeight w:val="645"/>
          <w:jc w:val="center"/>
        </w:trPr>
        <w:tc>
          <w:tcPr>
            <w:tcW w:w="162" w:type="pct"/>
            <w:vMerge/>
          </w:tcPr>
          <w:p w:rsidR="00AC3726" w:rsidRPr="000A447A" w:rsidRDefault="00AC3726" w:rsidP="00F8055F">
            <w:pPr>
              <w:spacing w:before="60" w:after="60"/>
              <w:rPr>
                <w:sz w:val="18"/>
                <w:szCs w:val="18"/>
              </w:rPr>
            </w:pPr>
          </w:p>
        </w:tc>
        <w:tc>
          <w:tcPr>
            <w:tcW w:w="759" w:type="pct"/>
            <w:vMerge/>
          </w:tcPr>
          <w:p w:rsidR="00AC3726" w:rsidRPr="000A447A" w:rsidRDefault="00AC3726" w:rsidP="00F8055F">
            <w:pPr>
              <w:spacing w:before="60" w:after="60"/>
              <w:rPr>
                <w:sz w:val="18"/>
                <w:szCs w:val="18"/>
              </w:rPr>
            </w:pPr>
          </w:p>
        </w:tc>
        <w:tc>
          <w:tcPr>
            <w:tcW w:w="178" w:type="pct"/>
            <w:vMerge/>
          </w:tcPr>
          <w:p w:rsidR="00AC3726" w:rsidRPr="000A447A" w:rsidRDefault="00AC3726" w:rsidP="00F8055F">
            <w:pPr>
              <w:spacing w:before="60" w:after="60"/>
              <w:rPr>
                <w:sz w:val="18"/>
                <w:szCs w:val="18"/>
              </w:rPr>
            </w:pPr>
          </w:p>
        </w:tc>
        <w:tc>
          <w:tcPr>
            <w:tcW w:w="536" w:type="pct"/>
            <w:vMerge/>
          </w:tcPr>
          <w:p w:rsidR="00AC3726" w:rsidRPr="000A447A" w:rsidRDefault="00AC3726" w:rsidP="00F8055F">
            <w:pPr>
              <w:spacing w:before="60" w:after="60"/>
              <w:rPr>
                <w:sz w:val="18"/>
                <w:szCs w:val="18"/>
              </w:rPr>
            </w:pPr>
          </w:p>
        </w:tc>
        <w:tc>
          <w:tcPr>
            <w:tcW w:w="357" w:type="pct"/>
            <w:vMerge/>
          </w:tcPr>
          <w:p w:rsidR="00AC3726" w:rsidRPr="000A447A" w:rsidRDefault="00AC3726" w:rsidP="00F8055F">
            <w:pPr>
              <w:spacing w:before="60" w:after="60"/>
              <w:rPr>
                <w:sz w:val="18"/>
                <w:szCs w:val="18"/>
              </w:rPr>
            </w:pPr>
          </w:p>
        </w:tc>
        <w:tc>
          <w:tcPr>
            <w:tcW w:w="267" w:type="pct"/>
            <w:vMerge/>
          </w:tcPr>
          <w:p w:rsidR="00AC3726" w:rsidRPr="000A447A" w:rsidRDefault="00AC3726" w:rsidP="00F8055F">
            <w:pPr>
              <w:spacing w:before="60" w:after="60"/>
              <w:rPr>
                <w:sz w:val="18"/>
                <w:szCs w:val="18"/>
              </w:rPr>
            </w:pPr>
          </w:p>
        </w:tc>
        <w:tc>
          <w:tcPr>
            <w:tcW w:w="312" w:type="pct"/>
            <w:vMerge/>
          </w:tcPr>
          <w:p w:rsidR="00AC3726" w:rsidRPr="000A447A" w:rsidRDefault="00AC3726" w:rsidP="00F8055F">
            <w:pPr>
              <w:spacing w:before="60" w:after="60"/>
              <w:rPr>
                <w:sz w:val="18"/>
                <w:szCs w:val="18"/>
              </w:rPr>
            </w:pPr>
          </w:p>
        </w:tc>
        <w:tc>
          <w:tcPr>
            <w:tcW w:w="134" w:type="pct"/>
            <w:shd w:val="clear" w:color="auto" w:fill="D9D9D9"/>
          </w:tcPr>
          <w:p w:rsidR="00AC3726" w:rsidRPr="000A447A" w:rsidRDefault="00AC3726" w:rsidP="00F8055F">
            <w:pPr>
              <w:spacing w:before="60" w:after="60"/>
              <w:rPr>
                <w:sz w:val="18"/>
                <w:szCs w:val="18"/>
              </w:rPr>
            </w:pPr>
          </w:p>
        </w:tc>
        <w:tc>
          <w:tcPr>
            <w:tcW w:w="134" w:type="pct"/>
            <w:shd w:val="clear" w:color="auto" w:fill="D9D9D9"/>
          </w:tcPr>
          <w:p w:rsidR="00AC3726" w:rsidRPr="000A447A" w:rsidRDefault="00AC3726" w:rsidP="00F8055F">
            <w:pPr>
              <w:spacing w:before="60" w:after="60"/>
              <w:rPr>
                <w:sz w:val="18"/>
                <w:szCs w:val="18"/>
              </w:rPr>
            </w:pPr>
          </w:p>
        </w:tc>
        <w:tc>
          <w:tcPr>
            <w:tcW w:w="476" w:type="pct"/>
          </w:tcPr>
          <w:p w:rsidR="00AC3726" w:rsidRPr="000A447A" w:rsidRDefault="00AC3726" w:rsidP="00F8055F">
            <w:pPr>
              <w:spacing w:before="60" w:after="60"/>
              <w:rPr>
                <w:sz w:val="18"/>
                <w:szCs w:val="18"/>
              </w:rPr>
            </w:pPr>
          </w:p>
        </w:tc>
        <w:tc>
          <w:tcPr>
            <w:tcW w:w="150" w:type="pct"/>
            <w:shd w:val="clear" w:color="auto" w:fill="D9D9D9"/>
          </w:tcPr>
          <w:p w:rsidR="00AC3726" w:rsidRPr="000A447A" w:rsidRDefault="00AC3726" w:rsidP="00F8055F">
            <w:pPr>
              <w:spacing w:before="60" w:after="60"/>
              <w:rPr>
                <w:sz w:val="18"/>
                <w:szCs w:val="18"/>
              </w:rPr>
            </w:pPr>
          </w:p>
        </w:tc>
        <w:tc>
          <w:tcPr>
            <w:tcW w:w="134" w:type="pct"/>
            <w:shd w:val="clear" w:color="auto" w:fill="D9D9D9"/>
          </w:tcPr>
          <w:p w:rsidR="00AC3726" w:rsidRPr="000A447A" w:rsidRDefault="00AC3726" w:rsidP="00F8055F">
            <w:pPr>
              <w:spacing w:before="60" w:after="60"/>
              <w:rPr>
                <w:sz w:val="18"/>
                <w:szCs w:val="18"/>
              </w:rPr>
            </w:pPr>
          </w:p>
        </w:tc>
        <w:tc>
          <w:tcPr>
            <w:tcW w:w="492" w:type="pct"/>
          </w:tcPr>
          <w:p w:rsidR="00AC3726" w:rsidRPr="000A447A" w:rsidRDefault="00AC3726" w:rsidP="00F8055F">
            <w:pPr>
              <w:spacing w:before="60" w:after="60"/>
              <w:rPr>
                <w:sz w:val="18"/>
                <w:szCs w:val="18"/>
              </w:rPr>
            </w:pPr>
          </w:p>
        </w:tc>
        <w:tc>
          <w:tcPr>
            <w:tcW w:w="421" w:type="pct"/>
            <w:vMerge/>
          </w:tcPr>
          <w:p w:rsidR="00AC3726" w:rsidRPr="000A447A" w:rsidRDefault="00AC3726" w:rsidP="00F8055F">
            <w:pPr>
              <w:spacing w:before="60" w:after="60"/>
              <w:rPr>
                <w:sz w:val="18"/>
                <w:szCs w:val="18"/>
              </w:rPr>
            </w:pPr>
          </w:p>
        </w:tc>
        <w:tc>
          <w:tcPr>
            <w:tcW w:w="487" w:type="pct"/>
            <w:vMerge/>
          </w:tcPr>
          <w:p w:rsidR="00AC3726" w:rsidRPr="000A447A" w:rsidRDefault="00AC3726" w:rsidP="00F8055F">
            <w:pPr>
              <w:spacing w:before="60" w:after="60"/>
              <w:rPr>
                <w:sz w:val="18"/>
                <w:szCs w:val="18"/>
              </w:rPr>
            </w:pPr>
          </w:p>
        </w:tc>
      </w:tr>
      <w:tr w:rsidR="00145A53" w:rsidRPr="00276080" w:rsidTr="00BB5A64">
        <w:trPr>
          <w:trHeight w:val="339"/>
          <w:jc w:val="center"/>
        </w:trPr>
        <w:tc>
          <w:tcPr>
            <w:tcW w:w="162" w:type="pct"/>
          </w:tcPr>
          <w:p w:rsidR="00145A53" w:rsidRPr="000A447A" w:rsidRDefault="00145A53" w:rsidP="00F8055F">
            <w:pPr>
              <w:spacing w:before="60" w:after="60"/>
              <w:rPr>
                <w:sz w:val="18"/>
                <w:szCs w:val="18"/>
              </w:rPr>
            </w:pPr>
            <w:r w:rsidRPr="000A447A">
              <w:rPr>
                <w:sz w:val="18"/>
                <w:szCs w:val="18"/>
              </w:rPr>
              <w:t>2</w:t>
            </w:r>
          </w:p>
        </w:tc>
        <w:tc>
          <w:tcPr>
            <w:tcW w:w="759" w:type="pct"/>
          </w:tcPr>
          <w:p w:rsidR="00145A53" w:rsidRPr="000A447A" w:rsidRDefault="00145A53" w:rsidP="000410B7">
            <w:pPr>
              <w:spacing w:before="60" w:after="60"/>
              <w:rPr>
                <w:sz w:val="18"/>
                <w:szCs w:val="18"/>
              </w:rPr>
            </w:pPr>
            <w:r w:rsidRPr="000A447A">
              <w:rPr>
                <w:sz w:val="18"/>
                <w:szCs w:val="18"/>
              </w:rPr>
              <w:t xml:space="preserve">Liczba usług publicznych udostępnionych </w:t>
            </w:r>
            <w:r w:rsidRPr="000A447A">
              <w:rPr>
                <w:sz w:val="18"/>
                <w:szCs w:val="18"/>
              </w:rPr>
              <w:br/>
              <w:t>on-line</w:t>
            </w:r>
            <w:r w:rsidR="006C0AEA" w:rsidRPr="00597BF5">
              <w:rPr>
                <w:sz w:val="18"/>
                <w:szCs w:val="18"/>
              </w:rPr>
              <w:t xml:space="preserve"> o poziomie dojrzałości co najmniej 3 (dwustronna interakcja)</w:t>
            </w:r>
          </w:p>
        </w:tc>
        <w:tc>
          <w:tcPr>
            <w:tcW w:w="178" w:type="pct"/>
          </w:tcPr>
          <w:p w:rsidR="00145A53" w:rsidRPr="000A447A" w:rsidRDefault="00145A53" w:rsidP="00F8055F">
            <w:pPr>
              <w:spacing w:before="60" w:after="60"/>
              <w:rPr>
                <w:sz w:val="18"/>
                <w:szCs w:val="18"/>
              </w:rPr>
            </w:pPr>
          </w:p>
        </w:tc>
        <w:tc>
          <w:tcPr>
            <w:tcW w:w="536" w:type="pct"/>
          </w:tcPr>
          <w:p w:rsidR="00145A53" w:rsidRPr="000A447A" w:rsidRDefault="0079249A" w:rsidP="00F8055F">
            <w:pPr>
              <w:spacing w:before="60" w:after="60"/>
              <w:rPr>
                <w:sz w:val="18"/>
                <w:szCs w:val="18"/>
              </w:rPr>
            </w:pPr>
            <w:r w:rsidRPr="000A447A">
              <w:rPr>
                <w:sz w:val="18"/>
                <w:szCs w:val="18"/>
              </w:rPr>
              <w:t>W</w:t>
            </w:r>
            <w:r w:rsidR="00145A53" w:rsidRPr="000A447A">
              <w:rPr>
                <w:sz w:val="18"/>
                <w:szCs w:val="18"/>
              </w:rPr>
              <w:t>skaźnik</w:t>
            </w:r>
            <w:r>
              <w:rPr>
                <w:sz w:val="18"/>
                <w:szCs w:val="18"/>
              </w:rPr>
              <w:t xml:space="preserve"> produktu</w:t>
            </w:r>
          </w:p>
        </w:tc>
        <w:tc>
          <w:tcPr>
            <w:tcW w:w="357" w:type="pct"/>
          </w:tcPr>
          <w:p w:rsidR="00145A53" w:rsidRPr="000A447A" w:rsidRDefault="00145A53" w:rsidP="00F8055F">
            <w:pPr>
              <w:spacing w:before="60" w:after="60"/>
              <w:rPr>
                <w:sz w:val="18"/>
                <w:szCs w:val="18"/>
              </w:rPr>
            </w:pPr>
            <w:r w:rsidRPr="000A447A">
              <w:rPr>
                <w:sz w:val="18"/>
                <w:szCs w:val="18"/>
              </w:rPr>
              <w:t>szt.</w:t>
            </w:r>
          </w:p>
        </w:tc>
        <w:tc>
          <w:tcPr>
            <w:tcW w:w="267" w:type="pct"/>
          </w:tcPr>
          <w:p w:rsidR="00145A53" w:rsidRPr="00227FE0" w:rsidRDefault="00145A53" w:rsidP="00DD7E68">
            <w:pPr>
              <w:spacing w:before="60" w:after="60"/>
              <w:ind w:left="113" w:right="113"/>
              <w:rPr>
                <w:sz w:val="16"/>
                <w:szCs w:val="16"/>
              </w:rPr>
            </w:pPr>
            <w:r>
              <w:rPr>
                <w:sz w:val="16"/>
                <w:szCs w:val="16"/>
              </w:rPr>
              <w:t>EFRR</w:t>
            </w:r>
          </w:p>
        </w:tc>
        <w:tc>
          <w:tcPr>
            <w:tcW w:w="312" w:type="pct"/>
          </w:tcPr>
          <w:p w:rsidR="00145A53" w:rsidRPr="000A447A" w:rsidRDefault="0079249A" w:rsidP="00F8055F">
            <w:pPr>
              <w:spacing w:before="60" w:after="60"/>
              <w:rPr>
                <w:sz w:val="18"/>
                <w:szCs w:val="18"/>
              </w:rPr>
            </w:pPr>
            <w:r>
              <w:rPr>
                <w:sz w:val="18"/>
                <w:szCs w:val="18"/>
              </w:rPr>
              <w:t>Słabiej</w:t>
            </w:r>
            <w:r w:rsidR="00145A53">
              <w:rPr>
                <w:sz w:val="18"/>
                <w:szCs w:val="18"/>
              </w:rPr>
              <w:t xml:space="preserve"> rozwinięty</w:t>
            </w:r>
          </w:p>
        </w:tc>
        <w:tc>
          <w:tcPr>
            <w:tcW w:w="134" w:type="pct"/>
            <w:shd w:val="clear" w:color="auto" w:fill="D9D9D9"/>
          </w:tcPr>
          <w:p w:rsidR="00145A53" w:rsidRPr="000A447A" w:rsidRDefault="00145A53" w:rsidP="00276080">
            <w:pPr>
              <w:spacing w:before="60" w:after="60" w:line="240" w:lineRule="auto"/>
              <w:rPr>
                <w:sz w:val="18"/>
                <w:szCs w:val="18"/>
              </w:rPr>
            </w:pPr>
          </w:p>
        </w:tc>
        <w:tc>
          <w:tcPr>
            <w:tcW w:w="134" w:type="pct"/>
            <w:shd w:val="clear" w:color="auto" w:fill="D9D9D9"/>
          </w:tcPr>
          <w:p w:rsidR="00145A53" w:rsidRPr="000A447A" w:rsidRDefault="00145A53" w:rsidP="00276080">
            <w:pPr>
              <w:spacing w:before="60" w:after="60" w:line="240" w:lineRule="auto"/>
              <w:rPr>
                <w:sz w:val="18"/>
                <w:szCs w:val="18"/>
              </w:rPr>
            </w:pPr>
          </w:p>
        </w:tc>
        <w:tc>
          <w:tcPr>
            <w:tcW w:w="476" w:type="pct"/>
          </w:tcPr>
          <w:p w:rsidR="00145A53" w:rsidRPr="000A447A" w:rsidRDefault="00145A53" w:rsidP="00BB5A64">
            <w:pPr>
              <w:spacing w:before="60" w:after="60"/>
              <w:jc w:val="right"/>
              <w:rPr>
                <w:sz w:val="18"/>
                <w:szCs w:val="18"/>
              </w:rPr>
            </w:pPr>
            <w:r w:rsidRPr="000A447A">
              <w:rPr>
                <w:sz w:val="18"/>
                <w:szCs w:val="18"/>
              </w:rPr>
              <w:t>0</w:t>
            </w:r>
          </w:p>
        </w:tc>
        <w:tc>
          <w:tcPr>
            <w:tcW w:w="150" w:type="pct"/>
            <w:shd w:val="clear" w:color="auto" w:fill="D9D9D9"/>
          </w:tcPr>
          <w:p w:rsidR="00145A53" w:rsidRPr="000A447A" w:rsidRDefault="00145A53" w:rsidP="00BB5A64">
            <w:pPr>
              <w:jc w:val="right"/>
              <w:rPr>
                <w:sz w:val="18"/>
                <w:szCs w:val="18"/>
              </w:rPr>
            </w:pPr>
          </w:p>
        </w:tc>
        <w:tc>
          <w:tcPr>
            <w:tcW w:w="134" w:type="pct"/>
            <w:shd w:val="clear" w:color="auto" w:fill="D9D9D9"/>
          </w:tcPr>
          <w:p w:rsidR="00145A53" w:rsidRPr="000A447A" w:rsidRDefault="00145A53" w:rsidP="00BB5A64">
            <w:pPr>
              <w:jc w:val="right"/>
              <w:rPr>
                <w:sz w:val="18"/>
                <w:szCs w:val="18"/>
              </w:rPr>
            </w:pPr>
          </w:p>
        </w:tc>
        <w:tc>
          <w:tcPr>
            <w:tcW w:w="492" w:type="pct"/>
          </w:tcPr>
          <w:p w:rsidR="00145A53" w:rsidRPr="000A447A" w:rsidRDefault="008D7DE6" w:rsidP="00260CCB">
            <w:pPr>
              <w:spacing w:before="60" w:after="60"/>
              <w:jc w:val="right"/>
              <w:rPr>
                <w:sz w:val="18"/>
                <w:szCs w:val="18"/>
              </w:rPr>
            </w:pPr>
            <w:r>
              <w:rPr>
                <w:sz w:val="18"/>
                <w:szCs w:val="18"/>
              </w:rPr>
              <w:t>147</w:t>
            </w:r>
          </w:p>
        </w:tc>
        <w:tc>
          <w:tcPr>
            <w:tcW w:w="421" w:type="pct"/>
          </w:tcPr>
          <w:p w:rsidR="00145A53" w:rsidRPr="000A447A" w:rsidRDefault="00145A53" w:rsidP="00F8055F">
            <w:pPr>
              <w:spacing w:before="60" w:after="60"/>
              <w:rPr>
                <w:sz w:val="18"/>
                <w:szCs w:val="18"/>
              </w:rPr>
            </w:pPr>
            <w:r w:rsidRPr="000A447A">
              <w:rPr>
                <w:sz w:val="18"/>
                <w:szCs w:val="18"/>
              </w:rPr>
              <w:t>Informatyczny system monitorowania programu</w:t>
            </w:r>
          </w:p>
        </w:tc>
        <w:tc>
          <w:tcPr>
            <w:tcW w:w="487" w:type="pct"/>
          </w:tcPr>
          <w:p w:rsidR="00145A53" w:rsidRPr="000A447A" w:rsidRDefault="00145A53" w:rsidP="00382D89">
            <w:pPr>
              <w:spacing w:before="60" w:after="60"/>
              <w:rPr>
                <w:sz w:val="18"/>
                <w:szCs w:val="18"/>
              </w:rPr>
            </w:pPr>
            <w:r w:rsidRPr="000A447A">
              <w:rPr>
                <w:sz w:val="18"/>
                <w:szCs w:val="18"/>
              </w:rPr>
              <w:t xml:space="preserve">Wskaźnik obrazuje </w:t>
            </w:r>
            <w:r>
              <w:rPr>
                <w:sz w:val="18"/>
                <w:szCs w:val="18"/>
              </w:rPr>
              <w:t>7</w:t>
            </w:r>
            <w:r w:rsidR="00FE203E">
              <w:rPr>
                <w:sz w:val="18"/>
                <w:szCs w:val="18"/>
              </w:rPr>
              <w:t>2,6</w:t>
            </w:r>
            <w:r w:rsidRPr="000A447A">
              <w:rPr>
                <w:sz w:val="18"/>
                <w:szCs w:val="18"/>
              </w:rPr>
              <w:t>% alokacji</w:t>
            </w:r>
            <w:r w:rsidR="00381863">
              <w:rPr>
                <w:sz w:val="18"/>
                <w:szCs w:val="18"/>
              </w:rPr>
              <w:t xml:space="preserve"> dla </w:t>
            </w:r>
            <w:r w:rsidR="0073436E">
              <w:rPr>
                <w:sz w:val="18"/>
                <w:szCs w:val="18"/>
              </w:rPr>
              <w:t>2 osi</w:t>
            </w:r>
          </w:p>
        </w:tc>
      </w:tr>
      <w:tr w:rsidR="001E5EF7" w:rsidRPr="00276080" w:rsidTr="00BB5A64">
        <w:trPr>
          <w:trHeight w:val="339"/>
          <w:jc w:val="center"/>
        </w:trPr>
        <w:tc>
          <w:tcPr>
            <w:tcW w:w="162" w:type="pct"/>
          </w:tcPr>
          <w:p w:rsidR="001E5EF7" w:rsidRPr="000A447A" w:rsidRDefault="001E5EF7" w:rsidP="00F8055F">
            <w:pPr>
              <w:spacing w:before="60" w:after="60"/>
              <w:rPr>
                <w:sz w:val="18"/>
                <w:szCs w:val="18"/>
              </w:rPr>
            </w:pPr>
            <w:r w:rsidRPr="005B15D3">
              <w:rPr>
                <w:sz w:val="18"/>
                <w:szCs w:val="18"/>
              </w:rPr>
              <w:t>2</w:t>
            </w:r>
          </w:p>
        </w:tc>
        <w:tc>
          <w:tcPr>
            <w:tcW w:w="759" w:type="pct"/>
          </w:tcPr>
          <w:p w:rsidR="001E5EF7" w:rsidRPr="00597BF5" w:rsidRDefault="0048322C" w:rsidP="000410B7">
            <w:pPr>
              <w:spacing w:before="60" w:after="60"/>
              <w:rPr>
                <w:lang w:eastAsia="ar-SA"/>
              </w:rPr>
            </w:pPr>
            <w:r w:rsidRPr="00597BF5">
              <w:rPr>
                <w:sz w:val="18"/>
                <w:szCs w:val="18"/>
              </w:rPr>
              <w:t>Liczba usług publicznych udostępnionych on-line o poziomie dojrzałości co najmniej 3 (dwustronna interakcja) na podstawie wartości docelowej z zawartych umów o dofinansowanie projektów</w:t>
            </w:r>
          </w:p>
        </w:tc>
        <w:tc>
          <w:tcPr>
            <w:tcW w:w="178" w:type="pct"/>
          </w:tcPr>
          <w:p w:rsidR="001E5EF7" w:rsidRPr="000A447A" w:rsidRDefault="001E5EF7" w:rsidP="00F8055F">
            <w:pPr>
              <w:spacing w:before="60" w:after="60"/>
              <w:rPr>
                <w:sz w:val="18"/>
                <w:szCs w:val="18"/>
              </w:rPr>
            </w:pPr>
          </w:p>
        </w:tc>
        <w:tc>
          <w:tcPr>
            <w:tcW w:w="536" w:type="pct"/>
          </w:tcPr>
          <w:p w:rsidR="001E5EF7" w:rsidRPr="000A447A" w:rsidRDefault="0079249A" w:rsidP="00F8055F">
            <w:pPr>
              <w:spacing w:before="60" w:after="60"/>
              <w:rPr>
                <w:sz w:val="18"/>
                <w:szCs w:val="18"/>
              </w:rPr>
            </w:pPr>
            <w:r>
              <w:rPr>
                <w:sz w:val="18"/>
                <w:szCs w:val="18"/>
              </w:rPr>
              <w:t>KEW</w:t>
            </w:r>
          </w:p>
        </w:tc>
        <w:tc>
          <w:tcPr>
            <w:tcW w:w="357" w:type="pct"/>
          </w:tcPr>
          <w:p w:rsidR="001E5EF7" w:rsidRPr="000A447A" w:rsidRDefault="001E5EF7" w:rsidP="00F8055F">
            <w:pPr>
              <w:spacing w:before="60" w:after="60"/>
              <w:rPr>
                <w:sz w:val="18"/>
                <w:szCs w:val="18"/>
              </w:rPr>
            </w:pPr>
            <w:r w:rsidRPr="000A447A">
              <w:rPr>
                <w:sz w:val="18"/>
                <w:szCs w:val="18"/>
              </w:rPr>
              <w:t>%</w:t>
            </w:r>
          </w:p>
        </w:tc>
        <w:tc>
          <w:tcPr>
            <w:tcW w:w="267" w:type="pct"/>
          </w:tcPr>
          <w:p w:rsidR="001E5EF7" w:rsidRDefault="001E5EF7" w:rsidP="00DD7E68">
            <w:pPr>
              <w:spacing w:before="60" w:after="60"/>
              <w:ind w:left="113" w:right="113"/>
              <w:rPr>
                <w:sz w:val="16"/>
                <w:szCs w:val="16"/>
              </w:rPr>
            </w:pPr>
            <w:r>
              <w:rPr>
                <w:sz w:val="16"/>
                <w:szCs w:val="16"/>
              </w:rPr>
              <w:t>EFRR</w:t>
            </w:r>
            <w:r w:rsidDel="001469ED">
              <w:rPr>
                <w:sz w:val="16"/>
                <w:szCs w:val="16"/>
              </w:rPr>
              <w:t xml:space="preserve"> </w:t>
            </w:r>
          </w:p>
        </w:tc>
        <w:tc>
          <w:tcPr>
            <w:tcW w:w="312" w:type="pct"/>
          </w:tcPr>
          <w:p w:rsidR="001E5EF7" w:rsidRDefault="0079249A" w:rsidP="00F8055F">
            <w:pPr>
              <w:spacing w:before="60" w:after="60"/>
              <w:rPr>
                <w:sz w:val="18"/>
                <w:szCs w:val="18"/>
              </w:rPr>
            </w:pPr>
            <w:r>
              <w:rPr>
                <w:sz w:val="18"/>
                <w:szCs w:val="18"/>
              </w:rPr>
              <w:t>Słabiej</w:t>
            </w:r>
            <w:r w:rsidR="001E5EF7">
              <w:rPr>
                <w:sz w:val="18"/>
                <w:szCs w:val="18"/>
              </w:rPr>
              <w:t xml:space="preserve"> rozwinięty</w:t>
            </w:r>
          </w:p>
        </w:tc>
        <w:tc>
          <w:tcPr>
            <w:tcW w:w="134" w:type="pct"/>
            <w:shd w:val="clear" w:color="auto" w:fill="D9D9D9"/>
          </w:tcPr>
          <w:p w:rsidR="001E5EF7" w:rsidRPr="000A447A" w:rsidRDefault="001E5EF7" w:rsidP="00276080">
            <w:pPr>
              <w:spacing w:before="60" w:after="60" w:line="240" w:lineRule="auto"/>
              <w:rPr>
                <w:sz w:val="18"/>
                <w:szCs w:val="18"/>
              </w:rPr>
            </w:pPr>
          </w:p>
        </w:tc>
        <w:tc>
          <w:tcPr>
            <w:tcW w:w="134" w:type="pct"/>
            <w:shd w:val="clear" w:color="auto" w:fill="D9D9D9"/>
          </w:tcPr>
          <w:p w:rsidR="001E5EF7" w:rsidRPr="000A447A" w:rsidRDefault="001E5EF7" w:rsidP="00276080">
            <w:pPr>
              <w:spacing w:before="60" w:after="60" w:line="240" w:lineRule="auto"/>
              <w:rPr>
                <w:sz w:val="18"/>
                <w:szCs w:val="18"/>
              </w:rPr>
            </w:pPr>
          </w:p>
        </w:tc>
        <w:tc>
          <w:tcPr>
            <w:tcW w:w="476" w:type="pct"/>
          </w:tcPr>
          <w:p w:rsidR="001E5EF7" w:rsidRPr="000A447A" w:rsidRDefault="0048322C" w:rsidP="00DB56B2">
            <w:pPr>
              <w:spacing w:before="60" w:after="60"/>
              <w:jc w:val="right"/>
              <w:rPr>
                <w:sz w:val="18"/>
                <w:szCs w:val="18"/>
              </w:rPr>
            </w:pPr>
            <w:r>
              <w:rPr>
                <w:sz w:val="18"/>
                <w:szCs w:val="18"/>
              </w:rPr>
              <w:t>2</w:t>
            </w:r>
            <w:r w:rsidR="00DB56B2">
              <w:rPr>
                <w:sz w:val="18"/>
                <w:szCs w:val="18"/>
              </w:rPr>
              <w:t>4</w:t>
            </w:r>
          </w:p>
        </w:tc>
        <w:tc>
          <w:tcPr>
            <w:tcW w:w="150" w:type="pct"/>
            <w:shd w:val="clear" w:color="auto" w:fill="D9D9D9"/>
          </w:tcPr>
          <w:p w:rsidR="001E5EF7" w:rsidRPr="000A447A" w:rsidRDefault="001E5EF7" w:rsidP="00BB5A64">
            <w:pPr>
              <w:jc w:val="right"/>
              <w:rPr>
                <w:sz w:val="18"/>
                <w:szCs w:val="18"/>
              </w:rPr>
            </w:pPr>
          </w:p>
        </w:tc>
        <w:tc>
          <w:tcPr>
            <w:tcW w:w="134" w:type="pct"/>
            <w:shd w:val="clear" w:color="auto" w:fill="D9D9D9"/>
          </w:tcPr>
          <w:p w:rsidR="001E5EF7" w:rsidRPr="000A447A" w:rsidRDefault="001E5EF7" w:rsidP="00BB5A64">
            <w:pPr>
              <w:jc w:val="right"/>
              <w:rPr>
                <w:sz w:val="18"/>
                <w:szCs w:val="18"/>
              </w:rPr>
            </w:pPr>
          </w:p>
        </w:tc>
        <w:tc>
          <w:tcPr>
            <w:tcW w:w="492" w:type="pct"/>
          </w:tcPr>
          <w:p w:rsidR="001E5EF7" w:rsidDel="008D7DE6" w:rsidRDefault="001E5EF7" w:rsidP="00260CCB">
            <w:pPr>
              <w:spacing w:before="60" w:after="60"/>
              <w:jc w:val="right"/>
              <w:rPr>
                <w:sz w:val="18"/>
                <w:szCs w:val="18"/>
              </w:rPr>
            </w:pPr>
            <w:proofErr w:type="spellStart"/>
            <w:r w:rsidRPr="000A447A">
              <w:rPr>
                <w:sz w:val="18"/>
                <w:szCs w:val="18"/>
              </w:rPr>
              <w:t>nd</w:t>
            </w:r>
            <w:proofErr w:type="spellEnd"/>
            <w:r w:rsidRPr="000A447A">
              <w:rPr>
                <w:sz w:val="18"/>
                <w:szCs w:val="18"/>
              </w:rPr>
              <w:t>.</w:t>
            </w:r>
          </w:p>
        </w:tc>
        <w:tc>
          <w:tcPr>
            <w:tcW w:w="421" w:type="pct"/>
          </w:tcPr>
          <w:p w:rsidR="001E5EF7" w:rsidRPr="000A447A" w:rsidRDefault="001E5EF7" w:rsidP="00F8055F">
            <w:pPr>
              <w:spacing w:before="60" w:after="60"/>
              <w:rPr>
                <w:sz w:val="18"/>
                <w:szCs w:val="18"/>
              </w:rPr>
            </w:pPr>
            <w:r w:rsidRPr="000A447A">
              <w:rPr>
                <w:sz w:val="18"/>
                <w:szCs w:val="18"/>
              </w:rPr>
              <w:t>Informatyczny system monitorowania programu</w:t>
            </w:r>
          </w:p>
        </w:tc>
        <w:tc>
          <w:tcPr>
            <w:tcW w:w="487" w:type="pct"/>
          </w:tcPr>
          <w:p w:rsidR="001E5EF7" w:rsidRPr="000A447A" w:rsidRDefault="001E5EF7" w:rsidP="00382D89">
            <w:pPr>
              <w:spacing w:before="60" w:after="60"/>
              <w:rPr>
                <w:sz w:val="18"/>
                <w:szCs w:val="18"/>
              </w:rPr>
            </w:pPr>
          </w:p>
        </w:tc>
      </w:tr>
      <w:tr w:rsidR="001E5EF7" w:rsidRPr="00276080" w:rsidTr="00BB5A64">
        <w:trPr>
          <w:trHeight w:val="339"/>
          <w:jc w:val="center"/>
        </w:trPr>
        <w:tc>
          <w:tcPr>
            <w:tcW w:w="162" w:type="pct"/>
          </w:tcPr>
          <w:p w:rsidR="001E5EF7" w:rsidRPr="000A447A" w:rsidRDefault="001E5EF7" w:rsidP="00F8055F">
            <w:pPr>
              <w:spacing w:before="60" w:after="60"/>
              <w:rPr>
                <w:sz w:val="18"/>
                <w:szCs w:val="18"/>
              </w:rPr>
            </w:pPr>
            <w:r w:rsidRPr="005B15D3">
              <w:rPr>
                <w:sz w:val="18"/>
                <w:szCs w:val="18"/>
              </w:rPr>
              <w:t>2</w:t>
            </w:r>
          </w:p>
        </w:tc>
        <w:tc>
          <w:tcPr>
            <w:tcW w:w="759" w:type="pct"/>
          </w:tcPr>
          <w:p w:rsidR="001E5EF7" w:rsidRPr="000A447A" w:rsidRDefault="001E5EF7" w:rsidP="00F8055F">
            <w:pPr>
              <w:spacing w:before="60" w:after="60"/>
              <w:rPr>
                <w:sz w:val="18"/>
                <w:szCs w:val="18"/>
              </w:rPr>
            </w:pPr>
            <w:r w:rsidRPr="000A447A">
              <w:rPr>
                <w:sz w:val="18"/>
                <w:szCs w:val="18"/>
              </w:rPr>
              <w:t xml:space="preserve">Całkowita kwota certyfikowanych wydatków </w:t>
            </w:r>
            <w:r w:rsidRPr="009A16F1">
              <w:rPr>
                <w:sz w:val="18"/>
                <w:szCs w:val="18"/>
              </w:rPr>
              <w:t>kwalifikowanych</w:t>
            </w:r>
          </w:p>
        </w:tc>
        <w:tc>
          <w:tcPr>
            <w:tcW w:w="178" w:type="pct"/>
          </w:tcPr>
          <w:p w:rsidR="001E5EF7" w:rsidRPr="000A447A" w:rsidRDefault="001E5EF7" w:rsidP="00F8055F">
            <w:pPr>
              <w:spacing w:before="60" w:after="60"/>
              <w:rPr>
                <w:sz w:val="18"/>
                <w:szCs w:val="18"/>
              </w:rPr>
            </w:pPr>
          </w:p>
        </w:tc>
        <w:tc>
          <w:tcPr>
            <w:tcW w:w="536" w:type="pct"/>
          </w:tcPr>
          <w:p w:rsidR="001E5EF7" w:rsidRPr="000A447A" w:rsidRDefault="0079249A" w:rsidP="00F8055F">
            <w:pPr>
              <w:spacing w:before="60" w:after="60"/>
              <w:rPr>
                <w:sz w:val="18"/>
                <w:szCs w:val="18"/>
              </w:rPr>
            </w:pPr>
            <w:r>
              <w:rPr>
                <w:sz w:val="18"/>
                <w:szCs w:val="18"/>
              </w:rPr>
              <w:t>Wskaźnik</w:t>
            </w:r>
            <w:r w:rsidR="001E5EF7">
              <w:rPr>
                <w:sz w:val="18"/>
                <w:szCs w:val="18"/>
              </w:rPr>
              <w:t xml:space="preserve"> finansowy</w:t>
            </w:r>
          </w:p>
        </w:tc>
        <w:tc>
          <w:tcPr>
            <w:tcW w:w="357" w:type="pct"/>
          </w:tcPr>
          <w:p w:rsidR="001E5EF7" w:rsidRPr="000A447A" w:rsidRDefault="001E5EF7" w:rsidP="00F8055F">
            <w:pPr>
              <w:spacing w:before="60" w:after="60"/>
              <w:rPr>
                <w:sz w:val="18"/>
                <w:szCs w:val="18"/>
              </w:rPr>
            </w:pPr>
            <w:r>
              <w:rPr>
                <w:sz w:val="18"/>
                <w:szCs w:val="18"/>
              </w:rPr>
              <w:t>EUR</w:t>
            </w:r>
          </w:p>
        </w:tc>
        <w:tc>
          <w:tcPr>
            <w:tcW w:w="267" w:type="pct"/>
          </w:tcPr>
          <w:p w:rsidR="001E5EF7" w:rsidRDefault="001E5EF7" w:rsidP="00DD7E68">
            <w:pPr>
              <w:spacing w:before="60" w:after="60"/>
              <w:ind w:left="113" w:right="113"/>
              <w:rPr>
                <w:sz w:val="16"/>
                <w:szCs w:val="16"/>
              </w:rPr>
            </w:pPr>
            <w:r>
              <w:rPr>
                <w:sz w:val="16"/>
                <w:szCs w:val="16"/>
              </w:rPr>
              <w:t>EFRR</w:t>
            </w:r>
          </w:p>
        </w:tc>
        <w:tc>
          <w:tcPr>
            <w:tcW w:w="312" w:type="pct"/>
          </w:tcPr>
          <w:p w:rsidR="001E5EF7" w:rsidRDefault="0079249A" w:rsidP="00F8055F">
            <w:pPr>
              <w:spacing w:before="60" w:after="60"/>
              <w:rPr>
                <w:sz w:val="18"/>
                <w:szCs w:val="18"/>
              </w:rPr>
            </w:pPr>
            <w:r>
              <w:rPr>
                <w:sz w:val="18"/>
                <w:szCs w:val="18"/>
              </w:rPr>
              <w:t>Słabiej</w:t>
            </w:r>
            <w:r w:rsidR="001E5EF7">
              <w:rPr>
                <w:sz w:val="18"/>
                <w:szCs w:val="18"/>
              </w:rPr>
              <w:t xml:space="preserve"> rozwinięty</w:t>
            </w:r>
          </w:p>
        </w:tc>
        <w:tc>
          <w:tcPr>
            <w:tcW w:w="134" w:type="pct"/>
            <w:shd w:val="clear" w:color="auto" w:fill="D9D9D9"/>
          </w:tcPr>
          <w:p w:rsidR="001E5EF7" w:rsidRPr="000A447A" w:rsidRDefault="001E5EF7" w:rsidP="00276080">
            <w:pPr>
              <w:spacing w:before="60" w:after="60" w:line="240" w:lineRule="auto"/>
              <w:rPr>
                <w:sz w:val="18"/>
                <w:szCs w:val="18"/>
              </w:rPr>
            </w:pPr>
          </w:p>
        </w:tc>
        <w:tc>
          <w:tcPr>
            <w:tcW w:w="134" w:type="pct"/>
            <w:shd w:val="clear" w:color="auto" w:fill="D9D9D9"/>
          </w:tcPr>
          <w:p w:rsidR="001E5EF7" w:rsidRPr="000A447A" w:rsidRDefault="001E5EF7" w:rsidP="00276080">
            <w:pPr>
              <w:spacing w:before="60" w:after="60" w:line="240" w:lineRule="auto"/>
              <w:rPr>
                <w:sz w:val="18"/>
                <w:szCs w:val="18"/>
              </w:rPr>
            </w:pPr>
          </w:p>
        </w:tc>
        <w:tc>
          <w:tcPr>
            <w:tcW w:w="476" w:type="pct"/>
          </w:tcPr>
          <w:p w:rsidR="001E5EF7" w:rsidRPr="000A447A" w:rsidRDefault="002C7278" w:rsidP="00BB5A64">
            <w:pPr>
              <w:spacing w:before="60" w:after="60"/>
              <w:jc w:val="right"/>
              <w:rPr>
                <w:sz w:val="18"/>
                <w:szCs w:val="18"/>
              </w:rPr>
            </w:pPr>
            <w:r>
              <w:rPr>
                <w:sz w:val="18"/>
                <w:szCs w:val="18"/>
              </w:rPr>
              <w:t>97 937 276</w:t>
            </w:r>
          </w:p>
        </w:tc>
        <w:tc>
          <w:tcPr>
            <w:tcW w:w="150" w:type="pct"/>
            <w:shd w:val="clear" w:color="auto" w:fill="D9D9D9"/>
          </w:tcPr>
          <w:p w:rsidR="001E5EF7" w:rsidRPr="000A447A" w:rsidRDefault="001E5EF7" w:rsidP="00BB5A64">
            <w:pPr>
              <w:jc w:val="right"/>
              <w:rPr>
                <w:sz w:val="18"/>
                <w:szCs w:val="18"/>
              </w:rPr>
            </w:pPr>
          </w:p>
        </w:tc>
        <w:tc>
          <w:tcPr>
            <w:tcW w:w="134" w:type="pct"/>
            <w:shd w:val="clear" w:color="auto" w:fill="D9D9D9"/>
          </w:tcPr>
          <w:p w:rsidR="001E5EF7" w:rsidRPr="000A447A" w:rsidRDefault="001E5EF7" w:rsidP="00BB5A64">
            <w:pPr>
              <w:jc w:val="right"/>
              <w:rPr>
                <w:sz w:val="18"/>
                <w:szCs w:val="18"/>
              </w:rPr>
            </w:pPr>
          </w:p>
        </w:tc>
        <w:tc>
          <w:tcPr>
            <w:tcW w:w="492" w:type="pct"/>
          </w:tcPr>
          <w:p w:rsidR="001E5EF7" w:rsidRPr="00954D5E" w:rsidDel="008D7DE6" w:rsidRDefault="009B6A15" w:rsidP="00260CCB">
            <w:pPr>
              <w:spacing w:before="60" w:after="60"/>
              <w:jc w:val="right"/>
              <w:rPr>
                <w:rFonts w:asciiTheme="minorHAnsi" w:hAnsiTheme="minorHAnsi"/>
                <w:sz w:val="20"/>
                <w:szCs w:val="20"/>
              </w:rPr>
            </w:pPr>
            <w:r w:rsidRPr="00954D5E">
              <w:rPr>
                <w:rFonts w:asciiTheme="minorHAnsi" w:hAnsiTheme="minorHAnsi" w:cs="Tahoma"/>
                <w:sz w:val="20"/>
                <w:szCs w:val="20"/>
              </w:rPr>
              <w:t>796 617 848</w:t>
            </w:r>
          </w:p>
        </w:tc>
        <w:tc>
          <w:tcPr>
            <w:tcW w:w="421" w:type="pct"/>
          </w:tcPr>
          <w:p w:rsidR="001E5EF7" w:rsidRPr="000A447A" w:rsidRDefault="001E5EF7" w:rsidP="00F8055F">
            <w:pPr>
              <w:spacing w:before="60" w:after="60"/>
              <w:rPr>
                <w:sz w:val="18"/>
                <w:szCs w:val="18"/>
              </w:rPr>
            </w:pPr>
            <w:r w:rsidRPr="000A447A">
              <w:rPr>
                <w:sz w:val="18"/>
                <w:szCs w:val="18"/>
              </w:rPr>
              <w:t>Informatyczny system monitorowania programu</w:t>
            </w:r>
          </w:p>
        </w:tc>
        <w:tc>
          <w:tcPr>
            <w:tcW w:w="487" w:type="pct"/>
          </w:tcPr>
          <w:p w:rsidR="001E5EF7" w:rsidRPr="000A447A" w:rsidRDefault="001E5EF7" w:rsidP="00382D89">
            <w:pPr>
              <w:spacing w:before="60" w:after="60"/>
              <w:rPr>
                <w:sz w:val="18"/>
                <w:szCs w:val="18"/>
              </w:rPr>
            </w:pPr>
          </w:p>
        </w:tc>
      </w:tr>
      <w:tr w:rsidR="001E5EF7" w:rsidRPr="00276080" w:rsidTr="00BB5A64">
        <w:trPr>
          <w:cantSplit/>
          <w:trHeight w:val="1134"/>
          <w:jc w:val="center"/>
        </w:trPr>
        <w:tc>
          <w:tcPr>
            <w:tcW w:w="162" w:type="pct"/>
          </w:tcPr>
          <w:p w:rsidR="001E5EF7" w:rsidRPr="000A447A" w:rsidRDefault="001E5EF7" w:rsidP="00F8055F">
            <w:pPr>
              <w:spacing w:before="60" w:after="60"/>
              <w:rPr>
                <w:sz w:val="18"/>
                <w:szCs w:val="18"/>
              </w:rPr>
            </w:pPr>
            <w:r w:rsidRPr="000A447A">
              <w:rPr>
                <w:sz w:val="18"/>
                <w:szCs w:val="18"/>
              </w:rPr>
              <w:lastRenderedPageBreak/>
              <w:t>2</w:t>
            </w:r>
          </w:p>
        </w:tc>
        <w:tc>
          <w:tcPr>
            <w:tcW w:w="759" w:type="pct"/>
          </w:tcPr>
          <w:p w:rsidR="001E5EF7" w:rsidRPr="000A447A" w:rsidRDefault="001E5EF7" w:rsidP="000410B7">
            <w:pPr>
              <w:spacing w:before="60" w:after="60"/>
              <w:rPr>
                <w:sz w:val="18"/>
                <w:szCs w:val="18"/>
              </w:rPr>
            </w:pPr>
            <w:r w:rsidRPr="000A447A">
              <w:rPr>
                <w:sz w:val="18"/>
                <w:szCs w:val="18"/>
              </w:rPr>
              <w:t xml:space="preserve">Liczba usług publicznych udostępnionych </w:t>
            </w:r>
            <w:r w:rsidRPr="000A447A">
              <w:rPr>
                <w:sz w:val="18"/>
                <w:szCs w:val="18"/>
              </w:rPr>
              <w:br/>
              <w:t>on-line</w:t>
            </w:r>
            <w:r w:rsidR="006C0AEA" w:rsidRPr="00597BF5">
              <w:rPr>
                <w:sz w:val="18"/>
                <w:szCs w:val="18"/>
              </w:rPr>
              <w:t xml:space="preserve"> o poziomie dojrzałości co najm</w:t>
            </w:r>
            <w:r w:rsidR="000410B7" w:rsidRPr="000410B7">
              <w:rPr>
                <w:sz w:val="18"/>
                <w:szCs w:val="18"/>
              </w:rPr>
              <w:t xml:space="preserve">niej 3 (dwustronna interakcja) </w:t>
            </w:r>
          </w:p>
        </w:tc>
        <w:tc>
          <w:tcPr>
            <w:tcW w:w="178" w:type="pct"/>
          </w:tcPr>
          <w:p w:rsidR="001E5EF7" w:rsidRPr="000A447A" w:rsidRDefault="001E5EF7" w:rsidP="00F8055F">
            <w:pPr>
              <w:spacing w:before="60" w:after="60"/>
              <w:rPr>
                <w:sz w:val="18"/>
                <w:szCs w:val="18"/>
              </w:rPr>
            </w:pPr>
          </w:p>
        </w:tc>
        <w:tc>
          <w:tcPr>
            <w:tcW w:w="536" w:type="pct"/>
          </w:tcPr>
          <w:p w:rsidR="001E5EF7" w:rsidRPr="000A447A" w:rsidRDefault="0079249A" w:rsidP="00F8055F">
            <w:pPr>
              <w:spacing w:before="60" w:after="60"/>
              <w:rPr>
                <w:sz w:val="18"/>
                <w:szCs w:val="18"/>
              </w:rPr>
            </w:pPr>
            <w:r w:rsidRPr="000A447A">
              <w:rPr>
                <w:sz w:val="18"/>
                <w:szCs w:val="18"/>
              </w:rPr>
              <w:t>W</w:t>
            </w:r>
            <w:r w:rsidR="001E5EF7" w:rsidRPr="000A447A">
              <w:rPr>
                <w:sz w:val="18"/>
                <w:szCs w:val="18"/>
              </w:rPr>
              <w:t>skaźnik</w:t>
            </w:r>
            <w:r>
              <w:rPr>
                <w:sz w:val="18"/>
                <w:szCs w:val="18"/>
              </w:rPr>
              <w:t xml:space="preserve"> produktu</w:t>
            </w:r>
          </w:p>
        </w:tc>
        <w:tc>
          <w:tcPr>
            <w:tcW w:w="357" w:type="pct"/>
          </w:tcPr>
          <w:p w:rsidR="001E5EF7" w:rsidRPr="000A447A" w:rsidRDefault="001E5EF7" w:rsidP="00F8055F">
            <w:pPr>
              <w:spacing w:before="60" w:after="60"/>
              <w:rPr>
                <w:sz w:val="18"/>
                <w:szCs w:val="18"/>
              </w:rPr>
            </w:pPr>
            <w:r w:rsidRPr="000A447A">
              <w:rPr>
                <w:sz w:val="18"/>
                <w:szCs w:val="18"/>
              </w:rPr>
              <w:t>szt.</w:t>
            </w:r>
          </w:p>
        </w:tc>
        <w:tc>
          <w:tcPr>
            <w:tcW w:w="267" w:type="pct"/>
          </w:tcPr>
          <w:p w:rsidR="001E5EF7" w:rsidRDefault="001E5EF7" w:rsidP="00DD7E68">
            <w:pPr>
              <w:spacing w:before="60" w:after="60"/>
              <w:ind w:left="113" w:right="113"/>
              <w:rPr>
                <w:sz w:val="16"/>
                <w:szCs w:val="16"/>
              </w:rPr>
            </w:pPr>
          </w:p>
        </w:tc>
        <w:tc>
          <w:tcPr>
            <w:tcW w:w="312" w:type="pct"/>
          </w:tcPr>
          <w:p w:rsidR="001E5EF7" w:rsidRPr="000A447A" w:rsidRDefault="0079249A" w:rsidP="00F8055F">
            <w:pPr>
              <w:spacing w:before="60" w:after="60"/>
              <w:rPr>
                <w:sz w:val="18"/>
                <w:szCs w:val="18"/>
              </w:rPr>
            </w:pPr>
            <w:r>
              <w:rPr>
                <w:sz w:val="18"/>
                <w:szCs w:val="18"/>
              </w:rPr>
              <w:t>Lepiej</w:t>
            </w:r>
            <w:r w:rsidR="001E5EF7">
              <w:rPr>
                <w:sz w:val="18"/>
                <w:szCs w:val="18"/>
              </w:rPr>
              <w:t xml:space="preserve"> rozwinięty</w:t>
            </w:r>
          </w:p>
        </w:tc>
        <w:tc>
          <w:tcPr>
            <w:tcW w:w="134" w:type="pct"/>
            <w:shd w:val="clear" w:color="auto" w:fill="D9D9D9"/>
          </w:tcPr>
          <w:p w:rsidR="001E5EF7" w:rsidRPr="000A447A" w:rsidRDefault="001E5EF7" w:rsidP="00276080">
            <w:pPr>
              <w:spacing w:before="60" w:after="60" w:line="240" w:lineRule="auto"/>
              <w:rPr>
                <w:sz w:val="18"/>
                <w:szCs w:val="18"/>
              </w:rPr>
            </w:pPr>
          </w:p>
        </w:tc>
        <w:tc>
          <w:tcPr>
            <w:tcW w:w="134" w:type="pct"/>
            <w:shd w:val="clear" w:color="auto" w:fill="D9D9D9"/>
          </w:tcPr>
          <w:p w:rsidR="001E5EF7" w:rsidRPr="000A447A" w:rsidRDefault="001E5EF7" w:rsidP="00276080">
            <w:pPr>
              <w:spacing w:before="60" w:after="60" w:line="240" w:lineRule="auto"/>
              <w:rPr>
                <w:sz w:val="18"/>
                <w:szCs w:val="18"/>
              </w:rPr>
            </w:pPr>
          </w:p>
        </w:tc>
        <w:tc>
          <w:tcPr>
            <w:tcW w:w="476" w:type="pct"/>
          </w:tcPr>
          <w:p w:rsidR="001E5EF7" w:rsidRPr="000A447A" w:rsidRDefault="001E5EF7" w:rsidP="00BB5A64">
            <w:pPr>
              <w:spacing w:before="60" w:after="60"/>
              <w:jc w:val="right"/>
              <w:rPr>
                <w:sz w:val="18"/>
                <w:szCs w:val="18"/>
              </w:rPr>
            </w:pPr>
            <w:r>
              <w:rPr>
                <w:sz w:val="18"/>
                <w:szCs w:val="18"/>
              </w:rPr>
              <w:t>0</w:t>
            </w:r>
          </w:p>
        </w:tc>
        <w:tc>
          <w:tcPr>
            <w:tcW w:w="150" w:type="pct"/>
            <w:shd w:val="clear" w:color="auto" w:fill="D9D9D9"/>
          </w:tcPr>
          <w:p w:rsidR="001E5EF7" w:rsidRPr="000A447A" w:rsidRDefault="001E5EF7" w:rsidP="00BB5A64">
            <w:pPr>
              <w:jc w:val="right"/>
              <w:rPr>
                <w:sz w:val="18"/>
                <w:szCs w:val="18"/>
              </w:rPr>
            </w:pPr>
          </w:p>
        </w:tc>
        <w:tc>
          <w:tcPr>
            <w:tcW w:w="134" w:type="pct"/>
            <w:shd w:val="clear" w:color="auto" w:fill="D9D9D9"/>
          </w:tcPr>
          <w:p w:rsidR="001E5EF7" w:rsidRPr="000A447A" w:rsidRDefault="001E5EF7" w:rsidP="00BB5A64">
            <w:pPr>
              <w:jc w:val="right"/>
              <w:rPr>
                <w:sz w:val="18"/>
                <w:szCs w:val="18"/>
              </w:rPr>
            </w:pPr>
          </w:p>
        </w:tc>
        <w:tc>
          <w:tcPr>
            <w:tcW w:w="492" w:type="pct"/>
          </w:tcPr>
          <w:p w:rsidR="001E5EF7" w:rsidRPr="000A447A" w:rsidRDefault="001E5EF7" w:rsidP="00BB5A64">
            <w:pPr>
              <w:spacing w:before="60" w:after="60"/>
              <w:jc w:val="right"/>
              <w:rPr>
                <w:sz w:val="18"/>
                <w:szCs w:val="18"/>
              </w:rPr>
            </w:pPr>
            <w:r>
              <w:rPr>
                <w:sz w:val="18"/>
                <w:szCs w:val="18"/>
              </w:rPr>
              <w:t>12</w:t>
            </w:r>
          </w:p>
        </w:tc>
        <w:tc>
          <w:tcPr>
            <w:tcW w:w="421" w:type="pct"/>
          </w:tcPr>
          <w:p w:rsidR="001E5EF7" w:rsidRPr="000A447A" w:rsidRDefault="002C63E9" w:rsidP="00F8055F">
            <w:pPr>
              <w:spacing w:before="60" w:after="60"/>
              <w:rPr>
                <w:sz w:val="18"/>
                <w:szCs w:val="18"/>
              </w:rPr>
            </w:pPr>
            <w:r w:rsidRPr="000A447A">
              <w:rPr>
                <w:sz w:val="18"/>
                <w:szCs w:val="18"/>
              </w:rPr>
              <w:t>Informatyczny system monitorowania programu</w:t>
            </w:r>
          </w:p>
        </w:tc>
        <w:tc>
          <w:tcPr>
            <w:tcW w:w="487" w:type="pct"/>
          </w:tcPr>
          <w:p w:rsidR="001E5EF7" w:rsidRPr="000A447A" w:rsidRDefault="002C63E9" w:rsidP="001D2AD6">
            <w:pPr>
              <w:spacing w:before="60" w:after="60"/>
              <w:rPr>
                <w:sz w:val="18"/>
                <w:szCs w:val="18"/>
              </w:rPr>
            </w:pPr>
            <w:r w:rsidRPr="000A447A">
              <w:rPr>
                <w:sz w:val="18"/>
                <w:szCs w:val="18"/>
              </w:rPr>
              <w:t xml:space="preserve">Wskaźnik obrazuje </w:t>
            </w:r>
            <w:r>
              <w:rPr>
                <w:sz w:val="18"/>
                <w:szCs w:val="18"/>
              </w:rPr>
              <w:t>72,6</w:t>
            </w:r>
            <w:r w:rsidRPr="000A447A">
              <w:rPr>
                <w:sz w:val="18"/>
                <w:szCs w:val="18"/>
              </w:rPr>
              <w:t>% alokacji</w:t>
            </w:r>
            <w:r>
              <w:rPr>
                <w:sz w:val="18"/>
                <w:szCs w:val="18"/>
              </w:rPr>
              <w:t xml:space="preserve"> dla 2 osi</w:t>
            </w:r>
          </w:p>
        </w:tc>
      </w:tr>
      <w:tr w:rsidR="001E5EF7" w:rsidRPr="00276080" w:rsidTr="00BB5A64">
        <w:trPr>
          <w:cantSplit/>
          <w:trHeight w:val="1134"/>
          <w:jc w:val="center"/>
        </w:trPr>
        <w:tc>
          <w:tcPr>
            <w:tcW w:w="162" w:type="pct"/>
          </w:tcPr>
          <w:p w:rsidR="001E5EF7" w:rsidRPr="000A447A" w:rsidRDefault="001E5EF7" w:rsidP="00F8055F">
            <w:pPr>
              <w:spacing w:before="60" w:after="60"/>
              <w:rPr>
                <w:sz w:val="18"/>
                <w:szCs w:val="18"/>
              </w:rPr>
            </w:pPr>
            <w:r w:rsidRPr="000A447A">
              <w:rPr>
                <w:sz w:val="18"/>
                <w:szCs w:val="18"/>
              </w:rPr>
              <w:t>2</w:t>
            </w:r>
          </w:p>
        </w:tc>
        <w:tc>
          <w:tcPr>
            <w:tcW w:w="759" w:type="pct"/>
          </w:tcPr>
          <w:p w:rsidR="001E5EF7" w:rsidRPr="00597BF5" w:rsidRDefault="0048322C" w:rsidP="000C62F5">
            <w:pPr>
              <w:spacing w:before="60" w:after="60"/>
              <w:rPr>
                <w:lang w:eastAsia="ar-SA"/>
              </w:rPr>
            </w:pPr>
            <w:r w:rsidRPr="00597BF5">
              <w:rPr>
                <w:sz w:val="18"/>
                <w:szCs w:val="18"/>
              </w:rPr>
              <w:t>Liczba usług publicznych udostępnionych on-line o poziomie dojrzałości co najmniej 3 (dwustronna interakcja) na podstawie wartości docelowej z zawartych umów o dofinansowanie projektów</w:t>
            </w:r>
          </w:p>
        </w:tc>
        <w:tc>
          <w:tcPr>
            <w:tcW w:w="178" w:type="pct"/>
          </w:tcPr>
          <w:p w:rsidR="001E5EF7" w:rsidRPr="000A447A" w:rsidRDefault="001E5EF7" w:rsidP="00F8055F">
            <w:pPr>
              <w:spacing w:before="60" w:after="60"/>
              <w:rPr>
                <w:sz w:val="18"/>
                <w:szCs w:val="18"/>
              </w:rPr>
            </w:pPr>
          </w:p>
        </w:tc>
        <w:tc>
          <w:tcPr>
            <w:tcW w:w="536" w:type="pct"/>
          </w:tcPr>
          <w:p w:rsidR="001E5EF7" w:rsidRDefault="0079249A" w:rsidP="00F8055F">
            <w:pPr>
              <w:spacing w:before="60" w:after="60"/>
              <w:rPr>
                <w:sz w:val="18"/>
                <w:szCs w:val="18"/>
              </w:rPr>
            </w:pPr>
            <w:r>
              <w:rPr>
                <w:sz w:val="18"/>
                <w:szCs w:val="18"/>
              </w:rPr>
              <w:t>KEW</w:t>
            </w:r>
          </w:p>
        </w:tc>
        <w:tc>
          <w:tcPr>
            <w:tcW w:w="357" w:type="pct"/>
          </w:tcPr>
          <w:p w:rsidR="001E5EF7" w:rsidRDefault="001E5EF7" w:rsidP="00D601AA">
            <w:pPr>
              <w:spacing w:before="60" w:after="60"/>
              <w:rPr>
                <w:sz w:val="18"/>
                <w:szCs w:val="18"/>
              </w:rPr>
            </w:pPr>
            <w:r w:rsidRPr="000A447A">
              <w:rPr>
                <w:sz w:val="18"/>
                <w:szCs w:val="18"/>
              </w:rPr>
              <w:t>%</w:t>
            </w:r>
          </w:p>
        </w:tc>
        <w:tc>
          <w:tcPr>
            <w:tcW w:w="267" w:type="pct"/>
          </w:tcPr>
          <w:p w:rsidR="001E5EF7" w:rsidRDefault="001E5EF7" w:rsidP="00330A2C">
            <w:pPr>
              <w:spacing w:before="60" w:after="60"/>
              <w:ind w:left="113" w:right="113"/>
              <w:rPr>
                <w:sz w:val="16"/>
                <w:szCs w:val="16"/>
              </w:rPr>
            </w:pPr>
          </w:p>
        </w:tc>
        <w:tc>
          <w:tcPr>
            <w:tcW w:w="312" w:type="pct"/>
          </w:tcPr>
          <w:p w:rsidR="001E5EF7" w:rsidRDefault="0079249A" w:rsidP="00F8055F">
            <w:pPr>
              <w:spacing w:before="60" w:after="60"/>
              <w:rPr>
                <w:sz w:val="18"/>
                <w:szCs w:val="18"/>
              </w:rPr>
            </w:pPr>
            <w:r>
              <w:rPr>
                <w:sz w:val="18"/>
                <w:szCs w:val="18"/>
              </w:rPr>
              <w:t>Lepiej</w:t>
            </w:r>
            <w:r w:rsidR="001E5EF7">
              <w:rPr>
                <w:sz w:val="18"/>
                <w:szCs w:val="18"/>
              </w:rPr>
              <w:t xml:space="preserve"> rozwinięty</w:t>
            </w:r>
          </w:p>
        </w:tc>
        <w:tc>
          <w:tcPr>
            <w:tcW w:w="134" w:type="pct"/>
            <w:shd w:val="clear" w:color="auto" w:fill="D9D9D9"/>
          </w:tcPr>
          <w:p w:rsidR="001E5EF7" w:rsidRPr="000A447A" w:rsidRDefault="001E5EF7" w:rsidP="00276080">
            <w:pPr>
              <w:spacing w:before="60" w:after="60" w:line="240" w:lineRule="auto"/>
              <w:rPr>
                <w:sz w:val="18"/>
                <w:szCs w:val="18"/>
              </w:rPr>
            </w:pPr>
          </w:p>
        </w:tc>
        <w:tc>
          <w:tcPr>
            <w:tcW w:w="134" w:type="pct"/>
            <w:shd w:val="clear" w:color="auto" w:fill="D9D9D9"/>
          </w:tcPr>
          <w:p w:rsidR="001E5EF7" w:rsidRPr="000A447A" w:rsidRDefault="001E5EF7" w:rsidP="00276080">
            <w:pPr>
              <w:spacing w:before="60" w:after="60" w:line="240" w:lineRule="auto"/>
              <w:rPr>
                <w:sz w:val="18"/>
                <w:szCs w:val="18"/>
              </w:rPr>
            </w:pPr>
          </w:p>
        </w:tc>
        <w:tc>
          <w:tcPr>
            <w:tcW w:w="476" w:type="pct"/>
          </w:tcPr>
          <w:p w:rsidR="001E5EF7" w:rsidRDefault="0048322C" w:rsidP="00145A53">
            <w:pPr>
              <w:spacing w:before="60" w:after="60"/>
              <w:jc w:val="right"/>
              <w:rPr>
                <w:sz w:val="18"/>
                <w:szCs w:val="18"/>
              </w:rPr>
            </w:pPr>
            <w:r>
              <w:rPr>
                <w:sz w:val="18"/>
                <w:szCs w:val="18"/>
              </w:rPr>
              <w:t>2</w:t>
            </w:r>
          </w:p>
        </w:tc>
        <w:tc>
          <w:tcPr>
            <w:tcW w:w="150" w:type="pct"/>
            <w:shd w:val="clear" w:color="auto" w:fill="D9D9D9"/>
          </w:tcPr>
          <w:p w:rsidR="001E5EF7" w:rsidRPr="000A447A" w:rsidRDefault="001E5EF7">
            <w:pPr>
              <w:rPr>
                <w:sz w:val="18"/>
                <w:szCs w:val="18"/>
              </w:rPr>
            </w:pPr>
          </w:p>
        </w:tc>
        <w:tc>
          <w:tcPr>
            <w:tcW w:w="134" w:type="pct"/>
            <w:shd w:val="clear" w:color="auto" w:fill="D9D9D9"/>
          </w:tcPr>
          <w:p w:rsidR="001E5EF7" w:rsidRPr="000A447A" w:rsidRDefault="001E5EF7">
            <w:pPr>
              <w:rPr>
                <w:sz w:val="18"/>
                <w:szCs w:val="18"/>
              </w:rPr>
            </w:pPr>
          </w:p>
        </w:tc>
        <w:tc>
          <w:tcPr>
            <w:tcW w:w="492" w:type="pct"/>
          </w:tcPr>
          <w:p w:rsidR="001E5EF7" w:rsidRDefault="001E5EF7" w:rsidP="00BB5A64">
            <w:pPr>
              <w:spacing w:before="60" w:after="60"/>
              <w:jc w:val="right"/>
              <w:rPr>
                <w:sz w:val="18"/>
                <w:szCs w:val="18"/>
              </w:rPr>
            </w:pPr>
            <w:proofErr w:type="spellStart"/>
            <w:r w:rsidRPr="000A447A">
              <w:rPr>
                <w:sz w:val="18"/>
                <w:szCs w:val="18"/>
              </w:rPr>
              <w:t>nd</w:t>
            </w:r>
            <w:proofErr w:type="spellEnd"/>
            <w:r w:rsidRPr="000A447A">
              <w:rPr>
                <w:sz w:val="18"/>
                <w:szCs w:val="18"/>
              </w:rPr>
              <w:t>.</w:t>
            </w:r>
          </w:p>
        </w:tc>
        <w:tc>
          <w:tcPr>
            <w:tcW w:w="421" w:type="pct"/>
          </w:tcPr>
          <w:p w:rsidR="001E5EF7" w:rsidRPr="000A447A" w:rsidRDefault="002C63E9" w:rsidP="00B654BE">
            <w:pPr>
              <w:spacing w:before="60" w:after="60"/>
              <w:rPr>
                <w:sz w:val="18"/>
                <w:szCs w:val="18"/>
              </w:rPr>
            </w:pPr>
            <w:r w:rsidRPr="000A447A">
              <w:rPr>
                <w:sz w:val="18"/>
                <w:szCs w:val="18"/>
              </w:rPr>
              <w:t>Informatyczny system monitorowania programu</w:t>
            </w:r>
          </w:p>
        </w:tc>
        <w:tc>
          <w:tcPr>
            <w:tcW w:w="487" w:type="pct"/>
          </w:tcPr>
          <w:p w:rsidR="001E5EF7" w:rsidRPr="000A447A" w:rsidRDefault="001E5EF7" w:rsidP="00F8055F">
            <w:pPr>
              <w:spacing w:before="60" w:after="60"/>
              <w:rPr>
                <w:sz w:val="18"/>
                <w:szCs w:val="18"/>
              </w:rPr>
            </w:pPr>
          </w:p>
        </w:tc>
      </w:tr>
      <w:tr w:rsidR="009B6A15" w:rsidRPr="00276080" w:rsidTr="00BB5A64">
        <w:trPr>
          <w:cantSplit/>
          <w:trHeight w:val="1134"/>
          <w:jc w:val="center"/>
        </w:trPr>
        <w:tc>
          <w:tcPr>
            <w:tcW w:w="162" w:type="pct"/>
          </w:tcPr>
          <w:p w:rsidR="009B6A15" w:rsidRPr="000A447A" w:rsidRDefault="009B6A15" w:rsidP="00F8055F">
            <w:pPr>
              <w:spacing w:before="60" w:after="60"/>
              <w:rPr>
                <w:sz w:val="18"/>
                <w:szCs w:val="18"/>
              </w:rPr>
            </w:pPr>
            <w:r>
              <w:rPr>
                <w:sz w:val="18"/>
                <w:szCs w:val="18"/>
              </w:rPr>
              <w:t>2</w:t>
            </w:r>
          </w:p>
        </w:tc>
        <w:tc>
          <w:tcPr>
            <w:tcW w:w="759" w:type="pct"/>
          </w:tcPr>
          <w:p w:rsidR="009B6A15" w:rsidRDefault="009B6A15" w:rsidP="0085129D">
            <w:pPr>
              <w:spacing w:before="60" w:after="60"/>
              <w:rPr>
                <w:sz w:val="18"/>
                <w:szCs w:val="18"/>
              </w:rPr>
            </w:pPr>
            <w:r w:rsidRPr="000A447A">
              <w:rPr>
                <w:sz w:val="18"/>
                <w:szCs w:val="18"/>
              </w:rPr>
              <w:t xml:space="preserve">Całkowita kwota certyfikowanych wydatków </w:t>
            </w:r>
            <w:r w:rsidRPr="009A16F1">
              <w:rPr>
                <w:sz w:val="18"/>
                <w:szCs w:val="18"/>
              </w:rPr>
              <w:t>kwalifikowanych</w:t>
            </w:r>
          </w:p>
          <w:p w:rsidR="009B6A15" w:rsidRPr="000A447A" w:rsidRDefault="009B6A15" w:rsidP="00DA4751">
            <w:pPr>
              <w:spacing w:before="60" w:after="60"/>
              <w:rPr>
                <w:sz w:val="18"/>
                <w:szCs w:val="18"/>
              </w:rPr>
            </w:pPr>
          </w:p>
        </w:tc>
        <w:tc>
          <w:tcPr>
            <w:tcW w:w="178" w:type="pct"/>
          </w:tcPr>
          <w:p w:rsidR="009B6A15" w:rsidRPr="000A447A" w:rsidRDefault="009B6A15" w:rsidP="00F8055F">
            <w:pPr>
              <w:spacing w:before="60" w:after="60"/>
              <w:rPr>
                <w:sz w:val="18"/>
                <w:szCs w:val="18"/>
              </w:rPr>
            </w:pPr>
          </w:p>
        </w:tc>
        <w:tc>
          <w:tcPr>
            <w:tcW w:w="536" w:type="pct"/>
          </w:tcPr>
          <w:p w:rsidR="009B6A15" w:rsidRPr="000A447A" w:rsidRDefault="009B6A15" w:rsidP="00F8055F">
            <w:pPr>
              <w:spacing w:before="60" w:after="60"/>
              <w:rPr>
                <w:sz w:val="18"/>
                <w:szCs w:val="18"/>
              </w:rPr>
            </w:pPr>
            <w:r>
              <w:rPr>
                <w:sz w:val="18"/>
                <w:szCs w:val="18"/>
              </w:rPr>
              <w:t>Wskaźnik finansowy</w:t>
            </w:r>
          </w:p>
        </w:tc>
        <w:tc>
          <w:tcPr>
            <w:tcW w:w="357" w:type="pct"/>
          </w:tcPr>
          <w:p w:rsidR="009B6A15" w:rsidRPr="000A447A" w:rsidDel="00D06F4D" w:rsidRDefault="009B6A15" w:rsidP="00D601AA">
            <w:pPr>
              <w:spacing w:before="60" w:after="60"/>
              <w:rPr>
                <w:sz w:val="18"/>
                <w:szCs w:val="18"/>
              </w:rPr>
            </w:pPr>
            <w:r>
              <w:rPr>
                <w:sz w:val="18"/>
                <w:szCs w:val="18"/>
              </w:rPr>
              <w:t>EUR</w:t>
            </w:r>
          </w:p>
        </w:tc>
        <w:tc>
          <w:tcPr>
            <w:tcW w:w="267" w:type="pct"/>
          </w:tcPr>
          <w:p w:rsidR="009B6A15" w:rsidRPr="00DD7E68" w:rsidRDefault="009B6A15" w:rsidP="00DD7E68">
            <w:pPr>
              <w:spacing w:before="60" w:after="60"/>
              <w:ind w:left="113" w:right="113"/>
              <w:rPr>
                <w:sz w:val="16"/>
                <w:szCs w:val="16"/>
              </w:rPr>
            </w:pPr>
            <w:r>
              <w:rPr>
                <w:sz w:val="16"/>
                <w:szCs w:val="16"/>
              </w:rPr>
              <w:t>EFRR</w:t>
            </w:r>
          </w:p>
        </w:tc>
        <w:tc>
          <w:tcPr>
            <w:tcW w:w="312" w:type="pct"/>
          </w:tcPr>
          <w:p w:rsidR="009B6A15" w:rsidRPr="000A447A" w:rsidRDefault="009B6A15" w:rsidP="00F8055F">
            <w:pPr>
              <w:spacing w:before="60" w:after="60"/>
              <w:rPr>
                <w:sz w:val="18"/>
                <w:szCs w:val="18"/>
              </w:rPr>
            </w:pPr>
            <w:r>
              <w:rPr>
                <w:sz w:val="18"/>
                <w:szCs w:val="18"/>
              </w:rPr>
              <w:t>Lepiej rozwinięty</w:t>
            </w:r>
          </w:p>
        </w:tc>
        <w:tc>
          <w:tcPr>
            <w:tcW w:w="134" w:type="pct"/>
            <w:shd w:val="clear" w:color="auto" w:fill="D9D9D9"/>
          </w:tcPr>
          <w:p w:rsidR="009B6A15" w:rsidRPr="000A447A" w:rsidRDefault="009B6A15" w:rsidP="00276080">
            <w:pPr>
              <w:spacing w:before="60" w:after="60" w:line="240" w:lineRule="auto"/>
              <w:rPr>
                <w:sz w:val="18"/>
                <w:szCs w:val="18"/>
              </w:rPr>
            </w:pPr>
          </w:p>
        </w:tc>
        <w:tc>
          <w:tcPr>
            <w:tcW w:w="134" w:type="pct"/>
            <w:shd w:val="clear" w:color="auto" w:fill="D9D9D9"/>
          </w:tcPr>
          <w:p w:rsidR="009B6A15" w:rsidRPr="000A447A" w:rsidRDefault="009B6A15" w:rsidP="00276080">
            <w:pPr>
              <w:spacing w:before="60" w:after="60" w:line="240" w:lineRule="auto"/>
              <w:rPr>
                <w:sz w:val="18"/>
                <w:szCs w:val="18"/>
              </w:rPr>
            </w:pPr>
          </w:p>
        </w:tc>
        <w:tc>
          <w:tcPr>
            <w:tcW w:w="476" w:type="pct"/>
          </w:tcPr>
          <w:p w:rsidR="009B6A15" w:rsidRDefault="009B6A15" w:rsidP="00145A53">
            <w:pPr>
              <w:spacing w:before="60" w:after="60"/>
              <w:jc w:val="right"/>
              <w:rPr>
                <w:sz w:val="18"/>
                <w:szCs w:val="18"/>
              </w:rPr>
            </w:pPr>
            <w:r>
              <w:rPr>
                <w:sz w:val="18"/>
                <w:szCs w:val="18"/>
              </w:rPr>
              <w:t>7 832 349</w:t>
            </w:r>
          </w:p>
        </w:tc>
        <w:tc>
          <w:tcPr>
            <w:tcW w:w="150" w:type="pct"/>
            <w:shd w:val="clear" w:color="auto" w:fill="D9D9D9"/>
          </w:tcPr>
          <w:p w:rsidR="009B6A15" w:rsidRPr="000A447A" w:rsidRDefault="009B6A15" w:rsidP="0085129D">
            <w:pPr>
              <w:rPr>
                <w:sz w:val="18"/>
                <w:szCs w:val="18"/>
              </w:rPr>
            </w:pPr>
          </w:p>
        </w:tc>
        <w:tc>
          <w:tcPr>
            <w:tcW w:w="134" w:type="pct"/>
            <w:shd w:val="clear" w:color="auto" w:fill="D9D9D9"/>
          </w:tcPr>
          <w:p w:rsidR="009B6A15" w:rsidRPr="000A447A" w:rsidRDefault="009B6A15" w:rsidP="0085129D">
            <w:pPr>
              <w:rPr>
                <w:sz w:val="18"/>
                <w:szCs w:val="18"/>
              </w:rPr>
            </w:pPr>
          </w:p>
        </w:tc>
        <w:tc>
          <w:tcPr>
            <w:tcW w:w="492" w:type="pct"/>
          </w:tcPr>
          <w:p w:rsidR="009B6A15" w:rsidRPr="00954D5E" w:rsidRDefault="009B6A15" w:rsidP="00BB5A64">
            <w:pPr>
              <w:spacing w:before="60" w:after="60"/>
              <w:jc w:val="right"/>
              <w:rPr>
                <w:rFonts w:asciiTheme="minorHAnsi" w:hAnsiTheme="minorHAnsi"/>
                <w:sz w:val="20"/>
                <w:szCs w:val="20"/>
              </w:rPr>
            </w:pPr>
            <w:r w:rsidRPr="00954D5E">
              <w:rPr>
                <w:rFonts w:asciiTheme="minorHAnsi" w:hAnsiTheme="minorHAnsi" w:cs="Tahoma"/>
                <w:sz w:val="20"/>
                <w:szCs w:val="20"/>
              </w:rPr>
              <w:t>63 708 013</w:t>
            </w:r>
          </w:p>
        </w:tc>
        <w:tc>
          <w:tcPr>
            <w:tcW w:w="421" w:type="pct"/>
          </w:tcPr>
          <w:p w:rsidR="009B6A15" w:rsidRPr="000A447A" w:rsidRDefault="009B6A15" w:rsidP="00B654BE">
            <w:pPr>
              <w:spacing w:before="60" w:after="60"/>
              <w:rPr>
                <w:sz w:val="18"/>
                <w:szCs w:val="18"/>
              </w:rPr>
            </w:pPr>
            <w:r w:rsidRPr="000A447A">
              <w:rPr>
                <w:sz w:val="18"/>
                <w:szCs w:val="18"/>
              </w:rPr>
              <w:t>Informatyczny system monitorowania programu</w:t>
            </w:r>
          </w:p>
        </w:tc>
        <w:tc>
          <w:tcPr>
            <w:tcW w:w="487" w:type="pct"/>
          </w:tcPr>
          <w:p w:rsidR="009B6A15" w:rsidRPr="000A447A" w:rsidRDefault="009B6A15" w:rsidP="00F8055F">
            <w:pPr>
              <w:spacing w:before="60" w:after="60"/>
              <w:rPr>
                <w:sz w:val="18"/>
                <w:szCs w:val="18"/>
              </w:rPr>
            </w:pPr>
          </w:p>
        </w:tc>
      </w:tr>
    </w:tbl>
    <w:p w:rsidR="00B65C99" w:rsidRDefault="00654A6A" w:rsidP="00840299">
      <w:pPr>
        <w:spacing w:before="120" w:after="120"/>
        <w:jc w:val="both"/>
        <w:rPr>
          <w:b/>
        </w:rPr>
        <w:sectPr w:rsidR="00B65C99" w:rsidSect="0043575D">
          <w:pgSz w:w="16838" w:h="11906" w:orient="landscape" w:code="9"/>
          <w:pgMar w:top="1418" w:right="1418" w:bottom="1418" w:left="1418" w:header="709" w:footer="709" w:gutter="0"/>
          <w:cols w:space="708"/>
          <w:docGrid w:linePitch="360"/>
        </w:sectPr>
      </w:pPr>
      <w:r w:rsidRPr="00654A6A">
        <w:rPr>
          <w:rFonts w:cs="Calibri"/>
          <w:color w:val="000000"/>
        </w:rPr>
        <w:t xml:space="preserve"> </w:t>
      </w:r>
    </w:p>
    <w:p w:rsidR="00AC3726" w:rsidRPr="009812F7" w:rsidRDefault="00AC3726" w:rsidP="00AC3726">
      <w:pPr>
        <w:spacing w:before="120" w:after="120"/>
        <w:jc w:val="center"/>
        <w:rPr>
          <w:b/>
        </w:rPr>
      </w:pPr>
      <w:r w:rsidRPr="009812F7">
        <w:rPr>
          <w:b/>
        </w:rPr>
        <w:lastRenderedPageBreak/>
        <w:t>Informacje dotyczące ustanowienia ram wykonania:</w:t>
      </w:r>
    </w:p>
    <w:p w:rsidR="00CC10A7" w:rsidRPr="00597BF5" w:rsidRDefault="00CC10A7" w:rsidP="008D7DE6">
      <w:pPr>
        <w:numPr>
          <w:ilvl w:val="0"/>
          <w:numId w:val="12"/>
        </w:numPr>
        <w:spacing w:before="120" w:after="120"/>
        <w:contextualSpacing/>
        <w:jc w:val="both"/>
        <w:rPr>
          <w:rFonts w:cs="Calibri"/>
          <w:sz w:val="20"/>
          <w:szCs w:val="20"/>
        </w:rPr>
      </w:pPr>
      <w:r w:rsidRPr="00597BF5">
        <w:rPr>
          <w:rFonts w:cs="Calibri"/>
          <w:sz w:val="20"/>
          <w:szCs w:val="20"/>
        </w:rPr>
        <w:t>dane historyczne lub innego rodzaju dowody wykorzystywane do szacowania wartości celów pośrednich i końcowych oraz metody ich obliczania, takie jak na przykład dane dotyczące kosztów jednostkowych, kryteria referencyjne (benchmarki), zwykłe lub obserwowane w</w:t>
      </w:r>
      <w:r w:rsidR="00B27FB5" w:rsidRPr="00597BF5">
        <w:rPr>
          <w:rFonts w:cs="Calibri"/>
          <w:sz w:val="20"/>
          <w:szCs w:val="20"/>
        </w:rPr>
        <w:t xml:space="preserve"> </w:t>
      </w:r>
      <w:r w:rsidRPr="00597BF5">
        <w:rPr>
          <w:rFonts w:cs="Calibri"/>
          <w:sz w:val="20"/>
          <w:szCs w:val="20"/>
        </w:rPr>
        <w:t xml:space="preserve">przeszłości tempo wdrażania, opinie ekspertów i wnioski z ewaluacji </w:t>
      </w:r>
      <w:r w:rsidRPr="00597BF5">
        <w:rPr>
          <w:rFonts w:cs="Calibri"/>
          <w:i/>
          <w:sz w:val="20"/>
          <w:szCs w:val="20"/>
        </w:rPr>
        <w:t xml:space="preserve">ex </w:t>
      </w:r>
      <w:proofErr w:type="spellStart"/>
      <w:r w:rsidRPr="00597BF5">
        <w:rPr>
          <w:rFonts w:cs="Calibri"/>
          <w:i/>
          <w:sz w:val="20"/>
          <w:szCs w:val="20"/>
        </w:rPr>
        <w:t>ante</w:t>
      </w:r>
      <w:proofErr w:type="spellEnd"/>
      <w:r w:rsidRPr="00597BF5">
        <w:rPr>
          <w:rFonts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726" w:rsidRPr="009812F7" w:rsidTr="00F8055F">
        <w:tc>
          <w:tcPr>
            <w:tcW w:w="9212" w:type="dxa"/>
            <w:shd w:val="clear" w:color="auto" w:fill="auto"/>
          </w:tcPr>
          <w:p w:rsidR="00132EC7" w:rsidRPr="00DD7E68" w:rsidRDefault="00132EC7" w:rsidP="00DD7E68">
            <w:pPr>
              <w:autoSpaceDE w:val="0"/>
              <w:autoSpaceDN w:val="0"/>
              <w:adjustRightInd w:val="0"/>
              <w:spacing w:after="0" w:line="360" w:lineRule="auto"/>
              <w:jc w:val="both"/>
              <w:rPr>
                <w:rFonts w:cs="Calibri"/>
                <w:bCs/>
                <w:sz w:val="20"/>
                <w:szCs w:val="20"/>
                <w:u w:val="single"/>
                <w:lang w:eastAsia="pl-PL"/>
              </w:rPr>
            </w:pPr>
            <w:r w:rsidRPr="00C37E1E">
              <w:rPr>
                <w:rFonts w:cs="Calibri"/>
                <w:bCs/>
                <w:sz w:val="20"/>
                <w:szCs w:val="20"/>
                <w:u w:val="single"/>
                <w:lang w:eastAsia="pl-PL"/>
              </w:rPr>
              <w:t>Definicja wskaźnika:</w:t>
            </w:r>
          </w:p>
          <w:p w:rsidR="00ED0D6E" w:rsidRPr="00832787" w:rsidRDefault="00ED0D6E" w:rsidP="00FD2826">
            <w:pPr>
              <w:autoSpaceDE w:val="0"/>
              <w:autoSpaceDN w:val="0"/>
              <w:adjustRightInd w:val="0"/>
              <w:spacing w:after="0" w:line="240" w:lineRule="auto"/>
              <w:jc w:val="both"/>
              <w:rPr>
                <w:rFonts w:cs="Calibri"/>
                <w:bCs/>
                <w:sz w:val="20"/>
                <w:szCs w:val="20"/>
                <w:lang w:eastAsia="pl-PL"/>
              </w:rPr>
            </w:pPr>
            <w:r>
              <w:rPr>
                <w:rFonts w:cs="Calibri"/>
                <w:bCs/>
                <w:sz w:val="20"/>
                <w:szCs w:val="20"/>
                <w:lang w:eastAsia="pl-PL"/>
              </w:rPr>
              <w:t>Wskaźnik stanowi agregat danych pochodzących</w:t>
            </w:r>
            <w:r w:rsidRPr="00832787">
              <w:rPr>
                <w:rFonts w:cs="Calibri"/>
                <w:bCs/>
                <w:sz w:val="20"/>
                <w:szCs w:val="20"/>
                <w:lang w:eastAsia="pl-PL"/>
              </w:rPr>
              <w:t xml:space="preserve"> </w:t>
            </w:r>
            <w:r>
              <w:rPr>
                <w:rFonts w:cs="Calibri"/>
                <w:bCs/>
                <w:sz w:val="20"/>
                <w:szCs w:val="20"/>
                <w:lang w:eastAsia="pl-PL"/>
              </w:rPr>
              <w:t>z</w:t>
            </w:r>
            <w:r w:rsidRPr="00832787">
              <w:rPr>
                <w:rFonts w:cs="Calibri"/>
                <w:bCs/>
                <w:sz w:val="20"/>
                <w:szCs w:val="20"/>
                <w:lang w:eastAsia="pl-PL"/>
              </w:rPr>
              <w:t xml:space="preserve"> 2 wskaźników produktu, których źródłem jest Wspól</w:t>
            </w:r>
            <w:r>
              <w:rPr>
                <w:rFonts w:cs="Calibri"/>
                <w:bCs/>
                <w:sz w:val="20"/>
                <w:szCs w:val="20"/>
                <w:lang w:eastAsia="pl-PL"/>
              </w:rPr>
              <w:t>na Lista Wskaźników Kluczowych</w:t>
            </w:r>
            <w:r w:rsidR="00B27FB5">
              <w:rPr>
                <w:rFonts w:cs="Calibri"/>
                <w:bCs/>
                <w:sz w:val="20"/>
                <w:szCs w:val="20"/>
                <w:lang w:eastAsia="pl-PL"/>
              </w:rPr>
              <w:t xml:space="preserve"> (WLWK)</w:t>
            </w:r>
            <w:r>
              <w:rPr>
                <w:rFonts w:cs="Calibri"/>
                <w:bCs/>
                <w:sz w:val="20"/>
                <w:szCs w:val="20"/>
                <w:lang w:eastAsia="pl-PL"/>
              </w:rPr>
              <w:t>. Definicje obu wskaźników znajdują się poniżej i w tym przypadku należy je traktować łącznie.</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
                <w:bCs/>
                <w:sz w:val="20"/>
                <w:szCs w:val="20"/>
                <w:lang w:eastAsia="pl-PL"/>
              </w:rPr>
              <w:t>*</w:t>
            </w:r>
            <w:r>
              <w:rPr>
                <w:rFonts w:cs="Calibri"/>
                <w:b/>
                <w:bCs/>
                <w:sz w:val="20"/>
                <w:szCs w:val="20"/>
                <w:lang w:eastAsia="pl-PL"/>
              </w:rPr>
              <w:t xml:space="preserve"> </w:t>
            </w:r>
            <w:r w:rsidRPr="00832787">
              <w:rPr>
                <w:rFonts w:cs="Calibri"/>
                <w:b/>
                <w:bCs/>
                <w:sz w:val="20"/>
                <w:szCs w:val="20"/>
                <w:lang w:eastAsia="pl-PL"/>
              </w:rPr>
              <w:t>Usługa on-line o stopniu dojrzałości 3</w:t>
            </w:r>
            <w:r w:rsidRPr="00832787">
              <w:rPr>
                <w:rFonts w:cs="Calibri"/>
                <w:bCs/>
                <w:sz w:val="20"/>
                <w:szCs w:val="20"/>
                <w:lang w:eastAsia="pl-PL"/>
              </w:rPr>
              <w:t xml:space="preserve"> umożliwia transfer danych w dwóch kierunkach: od usługodawcy do klienta oraz od klienta do usługodawcy. Typowym sposobem jej realizacji jest pobranie, wypełnienie i</w:t>
            </w:r>
            <w:r>
              <w:rPr>
                <w:rFonts w:cs="Calibri"/>
                <w:bCs/>
                <w:sz w:val="20"/>
                <w:szCs w:val="20"/>
                <w:lang w:eastAsia="pl-PL"/>
              </w:rPr>
              <w:t> </w:t>
            </w:r>
            <w:r w:rsidRPr="00832787">
              <w:rPr>
                <w:rFonts w:cs="Calibri"/>
                <w:bCs/>
                <w:sz w:val="20"/>
                <w:szCs w:val="20"/>
                <w:lang w:eastAsia="pl-PL"/>
              </w:rPr>
              <w:t xml:space="preserve">odesłanie formularza drogą elektroniczną. </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 xml:space="preserve">W ramach wskaźnika należy </w:t>
            </w:r>
            <w:r w:rsidR="00396913">
              <w:rPr>
                <w:rFonts w:cs="Calibri"/>
                <w:bCs/>
                <w:sz w:val="20"/>
                <w:szCs w:val="20"/>
                <w:lang w:eastAsia="pl-PL"/>
              </w:rPr>
              <w:t xml:space="preserve">łącznie </w:t>
            </w:r>
            <w:r w:rsidRPr="00832787">
              <w:rPr>
                <w:rFonts w:cs="Calibri"/>
                <w:bCs/>
                <w:sz w:val="20"/>
                <w:szCs w:val="20"/>
                <w:lang w:eastAsia="pl-PL"/>
              </w:rPr>
              <w:t>ujmować usługi:</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 nowe lub istotnie udoskonalone,</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 xml:space="preserve">- skierowane do klientów spoza administracji publicznej: obywateli (usługi A2C) i/lub przedsiębiorców (A2B). </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
                <w:bCs/>
                <w:sz w:val="20"/>
                <w:szCs w:val="20"/>
                <w:lang w:eastAsia="pl-PL"/>
              </w:rPr>
              <w:t>* Usługa on-line o stopniu dojrzałości 4</w:t>
            </w:r>
            <w:r w:rsidR="00033B7A">
              <w:rPr>
                <w:rFonts w:cs="Calibri"/>
                <w:b/>
                <w:bCs/>
                <w:sz w:val="20"/>
                <w:szCs w:val="20"/>
                <w:lang w:eastAsia="pl-PL"/>
              </w:rPr>
              <w:t xml:space="preserve"> lub 5</w:t>
            </w:r>
            <w:r w:rsidRPr="00832787">
              <w:rPr>
                <w:rFonts w:cs="Calibri"/>
                <w:bCs/>
                <w:sz w:val="20"/>
                <w:szCs w:val="20"/>
                <w:lang w:eastAsia="pl-PL"/>
              </w:rPr>
              <w:t xml:space="preserve"> umożliwia pełne załatwienie danej sprawy drogą elektroniczną, łącznie z ewentualną płatnością. W ramach wskaźnika należy ujmować również usługi o stopniu dojrzałości 5, czyli takie, kt</w:t>
            </w:r>
            <w:r>
              <w:rPr>
                <w:rFonts w:cs="Calibri"/>
                <w:bCs/>
                <w:sz w:val="20"/>
                <w:szCs w:val="20"/>
                <w:lang w:eastAsia="pl-PL"/>
              </w:rPr>
              <w:t>ó</w:t>
            </w:r>
            <w:r w:rsidRPr="00832787">
              <w:rPr>
                <w:rFonts w:cs="Calibri"/>
                <w:bCs/>
                <w:sz w:val="20"/>
                <w:szCs w:val="20"/>
                <w:lang w:eastAsia="pl-PL"/>
              </w:rPr>
              <w:t xml:space="preserve">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832787">
              <w:rPr>
                <w:rFonts w:cs="Calibri"/>
                <w:bCs/>
                <w:sz w:val="20"/>
                <w:szCs w:val="20"/>
                <w:lang w:eastAsia="pl-PL"/>
              </w:rPr>
              <w:t>sms-em</w:t>
            </w:r>
            <w:proofErr w:type="spellEnd"/>
            <w:r w:rsidRPr="00832787">
              <w:rPr>
                <w:rFonts w:cs="Calibri"/>
                <w:bCs/>
                <w:sz w:val="20"/>
                <w:szCs w:val="20"/>
                <w:lang w:eastAsia="pl-PL"/>
              </w:rPr>
              <w:t xml:space="preserve"> o zbliżającej się potrzebie wykonania danej czynności urzędowej).</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 xml:space="preserve">W ramach wskaźnika należy </w:t>
            </w:r>
            <w:r w:rsidR="00396913">
              <w:rPr>
                <w:rFonts w:cs="Calibri"/>
                <w:bCs/>
                <w:sz w:val="20"/>
                <w:szCs w:val="20"/>
                <w:lang w:eastAsia="pl-PL"/>
              </w:rPr>
              <w:t xml:space="preserve">łącznie </w:t>
            </w:r>
            <w:r w:rsidRPr="00832787">
              <w:rPr>
                <w:rFonts w:cs="Calibri"/>
                <w:bCs/>
                <w:sz w:val="20"/>
                <w:szCs w:val="20"/>
                <w:lang w:eastAsia="pl-PL"/>
              </w:rPr>
              <w:t>ujmować usługi:</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 nowe lub istotnie udoskonalone,</w:t>
            </w:r>
          </w:p>
          <w:p w:rsidR="00ED0D6E" w:rsidRPr="00832787"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 xml:space="preserve">- skierowane do klientów spoza administracji publicznej: obywateli (usługi A2C) i/lub przedsiębiorców (A2B). </w:t>
            </w:r>
          </w:p>
          <w:p w:rsidR="00ED0D6E" w:rsidRDefault="00ED0D6E" w:rsidP="00BB5A64">
            <w:pPr>
              <w:autoSpaceDE w:val="0"/>
              <w:autoSpaceDN w:val="0"/>
              <w:adjustRightInd w:val="0"/>
              <w:spacing w:after="0" w:line="240" w:lineRule="auto"/>
              <w:jc w:val="both"/>
              <w:rPr>
                <w:rFonts w:cs="Calibri"/>
                <w:bCs/>
                <w:sz w:val="20"/>
                <w:szCs w:val="20"/>
                <w:lang w:eastAsia="pl-PL"/>
              </w:rPr>
            </w:pPr>
            <w:r w:rsidRPr="00832787">
              <w:rPr>
                <w:rFonts w:cs="Calibri"/>
                <w:bCs/>
                <w:sz w:val="20"/>
                <w:szCs w:val="20"/>
                <w:lang w:eastAsia="pl-PL"/>
              </w:rPr>
              <w:t>Usługa mierzona przedmiotowym wskaźnikiem nie może być liczona jednocześnie we wskaźniku usług on-line na poziomie 3.</w:t>
            </w:r>
          </w:p>
          <w:p w:rsidR="00EF60D6" w:rsidRDefault="00EF60D6" w:rsidP="00BB5A64">
            <w:pPr>
              <w:autoSpaceDE w:val="0"/>
              <w:autoSpaceDN w:val="0"/>
              <w:adjustRightInd w:val="0"/>
              <w:spacing w:after="0" w:line="240" w:lineRule="auto"/>
              <w:jc w:val="both"/>
              <w:rPr>
                <w:rFonts w:cs="Calibri"/>
                <w:b/>
                <w:bCs/>
                <w:color w:val="000000"/>
                <w:sz w:val="20"/>
                <w:szCs w:val="20"/>
                <w:lang w:eastAsia="pl-PL"/>
              </w:rPr>
            </w:pPr>
          </w:p>
          <w:p w:rsidR="00ED0D6E" w:rsidRPr="00DD7E68" w:rsidRDefault="00C1359C" w:rsidP="00DD7E68">
            <w:pPr>
              <w:autoSpaceDE w:val="0"/>
              <w:autoSpaceDN w:val="0"/>
              <w:adjustRightInd w:val="0"/>
              <w:spacing w:after="0" w:line="360" w:lineRule="auto"/>
              <w:jc w:val="both"/>
              <w:rPr>
                <w:rFonts w:cs="Calibri"/>
                <w:bCs/>
                <w:sz w:val="20"/>
                <w:szCs w:val="20"/>
                <w:u w:val="single"/>
                <w:lang w:eastAsia="pl-PL"/>
              </w:rPr>
            </w:pPr>
            <w:r>
              <w:rPr>
                <w:rFonts w:cs="Calibri"/>
                <w:bCs/>
                <w:sz w:val="20"/>
                <w:szCs w:val="20"/>
                <w:u w:val="single"/>
                <w:lang w:eastAsia="pl-PL"/>
              </w:rPr>
              <w:t>Metodologia</w:t>
            </w:r>
            <w:r w:rsidRPr="00C37E1E">
              <w:rPr>
                <w:rFonts w:cs="Calibri"/>
                <w:bCs/>
                <w:sz w:val="20"/>
                <w:szCs w:val="20"/>
                <w:u w:val="single"/>
                <w:lang w:eastAsia="pl-PL"/>
              </w:rPr>
              <w:t xml:space="preserve"> wskaźnika:</w:t>
            </w:r>
          </w:p>
          <w:p w:rsidR="001A19D3" w:rsidRDefault="001A19D3" w:rsidP="00BB5A64">
            <w:pPr>
              <w:spacing w:after="0" w:line="240" w:lineRule="auto"/>
              <w:contextualSpacing/>
              <w:jc w:val="both"/>
              <w:rPr>
                <w:rFonts w:cs="Calibri"/>
                <w:bCs/>
                <w:sz w:val="20"/>
                <w:szCs w:val="20"/>
                <w:lang w:eastAsia="pl-PL"/>
              </w:rPr>
            </w:pPr>
            <w:r w:rsidRPr="008B519A">
              <w:rPr>
                <w:rFonts w:cs="Calibri"/>
                <w:bCs/>
                <w:sz w:val="20"/>
                <w:szCs w:val="20"/>
                <w:lang w:eastAsia="pl-PL"/>
              </w:rPr>
              <w:t xml:space="preserve">Instytucja Zarządzająca Programem Operacyjnym Polska Cyfrowa wybrała do monitorowania ram wykonania 2 osi priorytetowej zagregowany wskaźnik produktu pn. </w:t>
            </w:r>
            <w:r w:rsidRPr="00597BF5">
              <w:rPr>
                <w:rFonts w:cs="Calibri"/>
                <w:bCs/>
                <w:i/>
                <w:sz w:val="20"/>
                <w:szCs w:val="20"/>
                <w:lang w:eastAsia="pl-PL"/>
              </w:rPr>
              <w:t>Liczba usług publicznych udostępnionych on-line</w:t>
            </w:r>
            <w:r w:rsidR="0007256F">
              <w:rPr>
                <w:rFonts w:cs="Calibri"/>
                <w:bCs/>
                <w:i/>
                <w:sz w:val="20"/>
                <w:szCs w:val="20"/>
                <w:lang w:eastAsia="pl-PL"/>
              </w:rPr>
              <w:t xml:space="preserve"> o poziomie dojrzałości co najmniej 3 (dwustronna interakcja)</w:t>
            </w:r>
            <w:r w:rsidRPr="008B519A">
              <w:rPr>
                <w:rFonts w:cs="Calibri"/>
                <w:bCs/>
                <w:sz w:val="20"/>
                <w:szCs w:val="20"/>
                <w:lang w:eastAsia="pl-PL"/>
              </w:rPr>
              <w:t>. Dane wliczane do wskaźnika dotyczą tylko usług kierowanych do obywateli (A2C) oraz przedsiębiorców (A2B) na 3 i wyższym poziomie dojrzałości, nie uwzględniając pojawiających się również w tych projektach usług wewnątrzadministracyjnych (A2A). Ministerstwo Administracji i Cyfryzacji ogłosiło procedurę preselekcji dla potencjalnych beneficjentów zainteresowanych przedmiotowym wsparciem. Dzięki niej beneficjenci mieli możliwość zaprezentowania swoich projektów, które poddane zostały próbnej ocenie przez niezależnych ekspertów oraz pracowników administracji. W preselekcji wzięło udział 33 potencjalnych beneficjentów, którzy złożyli 46 fiszek projektowych wpisujących się w 2 cel szczegółowy. Ostatecznie wyróżniono 19 projektów, które zarówno formalnie jak i merytorycznie zostały pozytywnie ocenione. Ich zakładana wartość wyni</w:t>
            </w:r>
            <w:r w:rsidR="00DF7B11">
              <w:rPr>
                <w:rFonts w:cs="Calibri"/>
                <w:bCs/>
                <w:sz w:val="20"/>
                <w:szCs w:val="20"/>
                <w:lang w:eastAsia="pl-PL"/>
              </w:rPr>
              <w:t>osła</w:t>
            </w:r>
            <w:r w:rsidRPr="008B519A">
              <w:rPr>
                <w:rFonts w:cs="Calibri"/>
                <w:bCs/>
                <w:sz w:val="20"/>
                <w:szCs w:val="20"/>
                <w:lang w:eastAsia="pl-PL"/>
              </w:rPr>
              <w:t xml:space="preserve"> około 2,5</w:t>
            </w:r>
            <w:r w:rsidR="00513324">
              <w:rPr>
                <w:rFonts w:cs="Calibri"/>
                <w:bCs/>
                <w:sz w:val="20"/>
                <w:szCs w:val="20"/>
                <w:lang w:eastAsia="pl-PL"/>
              </w:rPr>
              <w:t>4</w:t>
            </w:r>
            <w:r w:rsidRPr="008B519A">
              <w:rPr>
                <w:rFonts w:cs="Calibri"/>
                <w:bCs/>
                <w:sz w:val="20"/>
                <w:szCs w:val="20"/>
                <w:lang w:eastAsia="pl-PL"/>
              </w:rPr>
              <w:t xml:space="preserve"> mld PLN, a kwota dofinansowania nie przekroczy</w:t>
            </w:r>
            <w:r w:rsidR="00DF7B11">
              <w:rPr>
                <w:rFonts w:cs="Calibri"/>
                <w:bCs/>
                <w:sz w:val="20"/>
                <w:szCs w:val="20"/>
                <w:lang w:eastAsia="pl-PL"/>
              </w:rPr>
              <w:t>ła</w:t>
            </w:r>
            <w:r w:rsidRPr="008B519A">
              <w:rPr>
                <w:rFonts w:cs="Calibri"/>
                <w:bCs/>
                <w:sz w:val="20"/>
                <w:szCs w:val="20"/>
                <w:lang w:eastAsia="pl-PL"/>
              </w:rPr>
              <w:t xml:space="preserve"> 2,</w:t>
            </w:r>
            <w:r w:rsidR="00513324">
              <w:rPr>
                <w:rFonts w:cs="Calibri"/>
                <w:bCs/>
                <w:sz w:val="20"/>
                <w:szCs w:val="20"/>
                <w:lang w:eastAsia="pl-PL"/>
              </w:rPr>
              <w:t>15</w:t>
            </w:r>
            <w:r w:rsidR="00513324" w:rsidRPr="008B519A">
              <w:rPr>
                <w:rFonts w:cs="Calibri"/>
                <w:bCs/>
                <w:sz w:val="20"/>
                <w:szCs w:val="20"/>
                <w:lang w:eastAsia="pl-PL"/>
              </w:rPr>
              <w:t xml:space="preserve"> </w:t>
            </w:r>
            <w:r w:rsidRPr="008B519A">
              <w:rPr>
                <w:rFonts w:cs="Calibri"/>
                <w:bCs/>
                <w:sz w:val="20"/>
                <w:szCs w:val="20"/>
                <w:lang w:eastAsia="pl-PL"/>
              </w:rPr>
              <w:t>mld PLN</w:t>
            </w:r>
            <w:r w:rsidR="00606568">
              <w:rPr>
                <w:rFonts w:cs="Calibri"/>
                <w:bCs/>
                <w:sz w:val="20"/>
                <w:szCs w:val="20"/>
                <w:lang w:eastAsia="pl-PL"/>
              </w:rPr>
              <w:t>,</w:t>
            </w:r>
            <w:r w:rsidRPr="008B519A">
              <w:rPr>
                <w:rFonts w:cs="Calibri"/>
                <w:bCs/>
                <w:sz w:val="20"/>
                <w:szCs w:val="20"/>
                <w:lang w:eastAsia="pl-PL"/>
              </w:rPr>
              <w:t xml:space="preserve"> </w:t>
            </w:r>
            <w:r w:rsidR="00DF7B11">
              <w:rPr>
                <w:rFonts w:cs="Calibri"/>
                <w:bCs/>
                <w:sz w:val="20"/>
                <w:szCs w:val="20"/>
                <w:lang w:eastAsia="pl-PL"/>
              </w:rPr>
              <w:t>co</w:t>
            </w:r>
            <w:r w:rsidRPr="008B519A">
              <w:rPr>
                <w:rFonts w:cs="Calibri"/>
                <w:bCs/>
                <w:sz w:val="20"/>
                <w:szCs w:val="20"/>
                <w:lang w:eastAsia="pl-PL"/>
              </w:rPr>
              <w:t xml:space="preserve"> pozwoli</w:t>
            </w:r>
            <w:r w:rsidR="00DF7B11">
              <w:rPr>
                <w:rFonts w:cs="Calibri"/>
                <w:bCs/>
                <w:sz w:val="20"/>
                <w:szCs w:val="20"/>
                <w:lang w:eastAsia="pl-PL"/>
              </w:rPr>
              <w:t>łoby</w:t>
            </w:r>
            <w:r w:rsidRPr="008B519A">
              <w:rPr>
                <w:rFonts w:cs="Calibri"/>
                <w:bCs/>
                <w:sz w:val="20"/>
                <w:szCs w:val="20"/>
                <w:lang w:eastAsia="pl-PL"/>
              </w:rPr>
              <w:t xml:space="preserve"> </w:t>
            </w:r>
            <w:r w:rsidR="00DF7B11">
              <w:rPr>
                <w:rFonts w:cs="Calibri"/>
                <w:bCs/>
                <w:sz w:val="20"/>
                <w:szCs w:val="20"/>
                <w:lang w:eastAsia="pl-PL"/>
              </w:rPr>
              <w:t>na</w:t>
            </w:r>
            <w:r w:rsidRPr="008B519A">
              <w:rPr>
                <w:rFonts w:cs="Calibri"/>
                <w:bCs/>
                <w:sz w:val="20"/>
                <w:szCs w:val="20"/>
                <w:lang w:eastAsia="pl-PL"/>
              </w:rPr>
              <w:t xml:space="preserve"> zaangażowa</w:t>
            </w:r>
            <w:r w:rsidR="00DF7B11">
              <w:rPr>
                <w:rFonts w:cs="Calibri"/>
                <w:bCs/>
                <w:sz w:val="20"/>
                <w:szCs w:val="20"/>
                <w:lang w:eastAsia="pl-PL"/>
              </w:rPr>
              <w:t>nie</w:t>
            </w:r>
            <w:r w:rsidRPr="008B519A">
              <w:rPr>
                <w:rFonts w:cs="Calibri"/>
                <w:bCs/>
                <w:sz w:val="20"/>
                <w:szCs w:val="20"/>
                <w:lang w:eastAsia="pl-PL"/>
              </w:rPr>
              <w:t xml:space="preserve"> alokacj</w:t>
            </w:r>
            <w:r w:rsidR="00DF7B11">
              <w:rPr>
                <w:rFonts w:cs="Calibri"/>
                <w:bCs/>
                <w:sz w:val="20"/>
                <w:szCs w:val="20"/>
                <w:lang w:eastAsia="pl-PL"/>
              </w:rPr>
              <w:t>i</w:t>
            </w:r>
            <w:r w:rsidRPr="008B519A">
              <w:rPr>
                <w:rFonts w:cs="Calibri"/>
                <w:bCs/>
                <w:sz w:val="20"/>
                <w:szCs w:val="20"/>
                <w:lang w:eastAsia="pl-PL"/>
              </w:rPr>
              <w:t xml:space="preserve"> 2 celu szczegółowego w około </w:t>
            </w:r>
            <w:r w:rsidR="0027664D">
              <w:rPr>
                <w:rFonts w:cs="Calibri"/>
                <w:bCs/>
                <w:sz w:val="20"/>
                <w:szCs w:val="20"/>
                <w:lang w:eastAsia="pl-PL"/>
              </w:rPr>
              <w:t>88</w:t>
            </w:r>
            <w:r>
              <w:rPr>
                <w:rFonts w:cs="Calibri"/>
                <w:bCs/>
                <w:sz w:val="20"/>
                <w:szCs w:val="20"/>
                <w:lang w:eastAsia="pl-PL"/>
              </w:rPr>
              <w:t>%</w:t>
            </w:r>
            <w:r w:rsidRPr="008B519A">
              <w:rPr>
                <w:rFonts w:cs="Calibri"/>
                <w:bCs/>
                <w:sz w:val="20"/>
                <w:szCs w:val="20"/>
                <w:lang w:eastAsia="pl-PL"/>
              </w:rPr>
              <w:t xml:space="preserve">. </w:t>
            </w:r>
            <w:r w:rsidR="00DF7B11">
              <w:rPr>
                <w:rFonts w:cs="Calibri"/>
                <w:bCs/>
                <w:sz w:val="20"/>
                <w:szCs w:val="20"/>
                <w:lang w:eastAsia="pl-PL"/>
              </w:rPr>
              <w:t>Tym samym n</w:t>
            </w:r>
            <w:r w:rsidRPr="008B519A">
              <w:rPr>
                <w:rFonts w:cs="Calibri"/>
                <w:bCs/>
                <w:sz w:val="20"/>
                <w:szCs w:val="20"/>
                <w:lang w:eastAsia="pl-PL"/>
              </w:rPr>
              <w:t>iewykorzystan</w:t>
            </w:r>
            <w:r w:rsidR="00DF7B11">
              <w:rPr>
                <w:rFonts w:cs="Calibri"/>
                <w:bCs/>
                <w:sz w:val="20"/>
                <w:szCs w:val="20"/>
                <w:lang w:eastAsia="pl-PL"/>
              </w:rPr>
              <w:t>e</w:t>
            </w:r>
            <w:r w:rsidRPr="008B519A">
              <w:rPr>
                <w:rFonts w:cs="Calibri"/>
                <w:bCs/>
                <w:sz w:val="20"/>
                <w:szCs w:val="20"/>
                <w:lang w:eastAsia="pl-PL"/>
              </w:rPr>
              <w:t xml:space="preserve"> środk</w:t>
            </w:r>
            <w:r w:rsidR="009355EF">
              <w:rPr>
                <w:rFonts w:cs="Calibri"/>
                <w:bCs/>
                <w:sz w:val="20"/>
                <w:szCs w:val="20"/>
                <w:lang w:eastAsia="pl-PL"/>
              </w:rPr>
              <w:t>i</w:t>
            </w:r>
            <w:r w:rsidRPr="008B519A">
              <w:rPr>
                <w:rFonts w:cs="Calibri"/>
                <w:bCs/>
                <w:sz w:val="20"/>
                <w:szCs w:val="20"/>
                <w:lang w:eastAsia="pl-PL"/>
              </w:rPr>
              <w:t xml:space="preserve"> </w:t>
            </w:r>
            <w:r w:rsidR="009355EF">
              <w:rPr>
                <w:rFonts w:cs="Calibri"/>
                <w:bCs/>
                <w:sz w:val="20"/>
                <w:szCs w:val="20"/>
                <w:lang w:eastAsia="pl-PL"/>
              </w:rPr>
              <w:t>stanowiłyby ok</w:t>
            </w:r>
            <w:r w:rsidR="00606568">
              <w:rPr>
                <w:rFonts w:cs="Calibri"/>
                <w:bCs/>
                <w:sz w:val="20"/>
                <w:szCs w:val="20"/>
                <w:lang w:eastAsia="pl-PL"/>
              </w:rPr>
              <w:t>oło</w:t>
            </w:r>
            <w:r w:rsidRPr="008B519A">
              <w:rPr>
                <w:rFonts w:cs="Calibri"/>
                <w:bCs/>
                <w:sz w:val="20"/>
                <w:szCs w:val="20"/>
                <w:lang w:eastAsia="pl-PL"/>
              </w:rPr>
              <w:t xml:space="preserve"> </w:t>
            </w:r>
            <w:r w:rsidR="0058720B">
              <w:rPr>
                <w:rFonts w:cs="Calibri"/>
                <w:bCs/>
                <w:sz w:val="20"/>
                <w:szCs w:val="20"/>
                <w:lang w:eastAsia="pl-PL"/>
              </w:rPr>
              <w:t> </w:t>
            </w:r>
            <w:r w:rsidR="0021644B">
              <w:rPr>
                <w:rFonts w:cs="Calibri"/>
                <w:bCs/>
                <w:sz w:val="20"/>
                <w:szCs w:val="20"/>
                <w:lang w:eastAsia="pl-PL"/>
              </w:rPr>
              <w:t>296,6</w:t>
            </w:r>
            <w:r w:rsidR="00D00BF5" w:rsidRPr="008B519A">
              <w:rPr>
                <w:rFonts w:cs="Calibri"/>
                <w:bCs/>
                <w:sz w:val="20"/>
                <w:szCs w:val="20"/>
                <w:lang w:eastAsia="pl-PL"/>
              </w:rPr>
              <w:t xml:space="preserve"> </w:t>
            </w:r>
            <w:r w:rsidRPr="008B519A">
              <w:rPr>
                <w:rFonts w:cs="Calibri"/>
                <w:bCs/>
                <w:sz w:val="20"/>
                <w:szCs w:val="20"/>
                <w:lang w:eastAsia="pl-PL"/>
              </w:rPr>
              <w:t xml:space="preserve">mln PLN i chcąc je wykorzystać na potrzeby niniejszej analizy, zdecydowano się wziąć pod uwagę </w:t>
            </w:r>
            <w:r w:rsidR="00770673">
              <w:rPr>
                <w:rFonts w:cs="Calibri"/>
                <w:bCs/>
                <w:sz w:val="20"/>
                <w:szCs w:val="20"/>
                <w:lang w:eastAsia="pl-PL"/>
              </w:rPr>
              <w:t>2</w:t>
            </w:r>
            <w:r w:rsidR="00F35872" w:rsidRPr="008B519A">
              <w:rPr>
                <w:rFonts w:cs="Calibri"/>
                <w:bCs/>
                <w:sz w:val="20"/>
                <w:szCs w:val="20"/>
                <w:lang w:eastAsia="pl-PL"/>
              </w:rPr>
              <w:t xml:space="preserve"> </w:t>
            </w:r>
            <w:r w:rsidR="00770673" w:rsidRPr="008B519A">
              <w:rPr>
                <w:rFonts w:cs="Calibri"/>
                <w:bCs/>
                <w:sz w:val="20"/>
                <w:szCs w:val="20"/>
                <w:lang w:eastAsia="pl-PL"/>
              </w:rPr>
              <w:t>projekt</w:t>
            </w:r>
            <w:r w:rsidR="00770673">
              <w:rPr>
                <w:rFonts w:cs="Calibri"/>
                <w:bCs/>
                <w:sz w:val="20"/>
                <w:szCs w:val="20"/>
                <w:lang w:eastAsia="pl-PL"/>
              </w:rPr>
              <w:t>y</w:t>
            </w:r>
            <w:r w:rsidR="00770673" w:rsidRPr="008B519A">
              <w:rPr>
                <w:rFonts w:cs="Calibri"/>
                <w:bCs/>
                <w:sz w:val="20"/>
                <w:szCs w:val="20"/>
                <w:lang w:eastAsia="pl-PL"/>
              </w:rPr>
              <w:t xml:space="preserve"> </w:t>
            </w:r>
            <w:r w:rsidRPr="008B519A">
              <w:rPr>
                <w:rFonts w:cs="Calibri"/>
                <w:bCs/>
                <w:sz w:val="20"/>
                <w:szCs w:val="20"/>
                <w:lang w:eastAsia="pl-PL"/>
              </w:rPr>
              <w:t xml:space="preserve">z dalszych miejsc listy rankingowej. Przewiduje się, że efektem realizacji wszystkich </w:t>
            </w:r>
            <w:r w:rsidR="0024417F">
              <w:rPr>
                <w:rFonts w:cs="Calibri"/>
                <w:bCs/>
                <w:sz w:val="20"/>
                <w:szCs w:val="20"/>
                <w:lang w:eastAsia="pl-PL"/>
              </w:rPr>
              <w:t>2</w:t>
            </w:r>
            <w:r w:rsidR="00770673">
              <w:rPr>
                <w:rFonts w:cs="Calibri"/>
                <w:bCs/>
                <w:sz w:val="20"/>
                <w:szCs w:val="20"/>
                <w:lang w:eastAsia="pl-PL"/>
              </w:rPr>
              <w:t>1</w:t>
            </w:r>
            <w:r w:rsidR="0024417F" w:rsidRPr="008B519A">
              <w:rPr>
                <w:rFonts w:cs="Calibri"/>
                <w:bCs/>
                <w:sz w:val="20"/>
                <w:szCs w:val="20"/>
                <w:lang w:eastAsia="pl-PL"/>
              </w:rPr>
              <w:t xml:space="preserve"> </w:t>
            </w:r>
            <w:r w:rsidRPr="008B519A">
              <w:rPr>
                <w:rFonts w:cs="Calibri"/>
                <w:bCs/>
                <w:sz w:val="20"/>
                <w:szCs w:val="20"/>
                <w:lang w:eastAsia="pl-PL"/>
              </w:rPr>
              <w:t>projektów</w:t>
            </w:r>
            <w:r w:rsidR="00606568">
              <w:rPr>
                <w:rFonts w:cs="Calibri"/>
                <w:bCs/>
                <w:sz w:val="20"/>
                <w:szCs w:val="20"/>
                <w:lang w:eastAsia="pl-PL"/>
              </w:rPr>
              <w:t>,</w:t>
            </w:r>
            <w:r w:rsidRPr="008B519A">
              <w:rPr>
                <w:rFonts w:cs="Calibri"/>
                <w:bCs/>
                <w:sz w:val="20"/>
                <w:szCs w:val="20"/>
                <w:lang w:eastAsia="pl-PL"/>
              </w:rPr>
              <w:t xml:space="preserve"> będzie stworzenie </w:t>
            </w:r>
            <w:r w:rsidR="00952B73">
              <w:rPr>
                <w:rFonts w:cs="Calibri"/>
                <w:bCs/>
                <w:sz w:val="20"/>
                <w:szCs w:val="20"/>
                <w:lang w:eastAsia="pl-PL"/>
              </w:rPr>
              <w:t>159</w:t>
            </w:r>
            <w:r w:rsidR="0024417F">
              <w:rPr>
                <w:rFonts w:cs="Calibri"/>
                <w:bCs/>
                <w:sz w:val="20"/>
                <w:szCs w:val="20"/>
                <w:lang w:eastAsia="pl-PL"/>
              </w:rPr>
              <w:t xml:space="preserve"> </w:t>
            </w:r>
            <w:r w:rsidRPr="008B519A">
              <w:rPr>
                <w:rFonts w:cs="Calibri"/>
                <w:bCs/>
                <w:sz w:val="20"/>
                <w:szCs w:val="20"/>
                <w:lang w:eastAsia="pl-PL"/>
              </w:rPr>
              <w:t xml:space="preserve">e-usług publicznych. Należy podkreślić, że </w:t>
            </w:r>
            <w:r w:rsidR="009355EF">
              <w:rPr>
                <w:rFonts w:cs="Calibri"/>
                <w:bCs/>
                <w:sz w:val="20"/>
                <w:szCs w:val="20"/>
                <w:lang w:eastAsia="pl-PL"/>
              </w:rPr>
              <w:t xml:space="preserve">analizowane </w:t>
            </w:r>
            <w:r w:rsidRPr="008B519A">
              <w:rPr>
                <w:rFonts w:cs="Calibri"/>
                <w:bCs/>
                <w:sz w:val="20"/>
                <w:szCs w:val="20"/>
                <w:lang w:eastAsia="pl-PL"/>
              </w:rPr>
              <w:t>dane mogą w przyszłości ulec zmianie, ponieważ lista projektów, które otrzymają wsparcie</w:t>
            </w:r>
            <w:r w:rsidR="00D014C2">
              <w:rPr>
                <w:rFonts w:cs="Calibri"/>
                <w:bCs/>
                <w:sz w:val="20"/>
                <w:szCs w:val="20"/>
                <w:lang w:eastAsia="pl-PL"/>
              </w:rPr>
              <w:t>,</w:t>
            </w:r>
            <w:r w:rsidRPr="008B519A">
              <w:rPr>
                <w:rFonts w:cs="Calibri"/>
                <w:bCs/>
                <w:sz w:val="20"/>
                <w:szCs w:val="20"/>
                <w:lang w:eastAsia="pl-PL"/>
              </w:rPr>
              <w:t xml:space="preserve"> nie jest przesądzona</w:t>
            </w:r>
            <w:r w:rsidR="00FE203E">
              <w:rPr>
                <w:rFonts w:cs="Calibri"/>
                <w:bCs/>
                <w:sz w:val="20"/>
                <w:szCs w:val="20"/>
                <w:lang w:eastAsia="pl-PL"/>
              </w:rPr>
              <w:t xml:space="preserve"> (obowiązuje tryb konkursowy)</w:t>
            </w:r>
            <w:r w:rsidRPr="008B519A">
              <w:rPr>
                <w:rFonts w:cs="Calibri"/>
                <w:bCs/>
                <w:sz w:val="20"/>
                <w:szCs w:val="20"/>
                <w:lang w:eastAsia="pl-PL"/>
              </w:rPr>
              <w:t xml:space="preserve">. </w:t>
            </w:r>
            <w:r w:rsidR="009355EF">
              <w:rPr>
                <w:rFonts w:cs="Calibri"/>
                <w:bCs/>
                <w:sz w:val="20"/>
                <w:szCs w:val="20"/>
                <w:lang w:eastAsia="pl-PL"/>
              </w:rPr>
              <w:t xml:space="preserve">Jednocześnie zaplanowane w ramach 2 celu szczegółowego środki stanowią aż </w:t>
            </w:r>
            <w:r w:rsidR="00770673">
              <w:rPr>
                <w:rFonts w:cs="Calibri"/>
                <w:bCs/>
                <w:sz w:val="20"/>
                <w:szCs w:val="20"/>
                <w:lang w:eastAsia="pl-PL"/>
              </w:rPr>
              <w:t>7</w:t>
            </w:r>
            <w:r w:rsidR="00FE203E">
              <w:rPr>
                <w:rFonts w:cs="Calibri"/>
                <w:bCs/>
                <w:sz w:val="20"/>
                <w:szCs w:val="20"/>
                <w:lang w:eastAsia="pl-PL"/>
              </w:rPr>
              <w:t>2,6</w:t>
            </w:r>
            <w:r w:rsidR="009355EF">
              <w:rPr>
                <w:rFonts w:cs="Calibri"/>
                <w:bCs/>
                <w:sz w:val="20"/>
                <w:szCs w:val="20"/>
                <w:lang w:eastAsia="pl-PL"/>
              </w:rPr>
              <w:t xml:space="preserve">% alokacji na </w:t>
            </w:r>
            <w:r w:rsidR="00643A68">
              <w:rPr>
                <w:rFonts w:cs="Calibri"/>
                <w:bCs/>
                <w:sz w:val="20"/>
                <w:szCs w:val="20"/>
                <w:lang w:eastAsia="pl-PL"/>
              </w:rPr>
              <w:t xml:space="preserve">II </w:t>
            </w:r>
            <w:r w:rsidR="009355EF">
              <w:rPr>
                <w:rFonts w:cs="Calibri"/>
                <w:bCs/>
                <w:sz w:val="20"/>
                <w:szCs w:val="20"/>
                <w:lang w:eastAsia="pl-PL"/>
              </w:rPr>
              <w:t>oś priorytetową i taką wartość założono do wykonania estymacji wskaźnika.</w:t>
            </w:r>
          </w:p>
          <w:p w:rsidR="007C2692" w:rsidRDefault="00064B56" w:rsidP="00BB5A64">
            <w:pPr>
              <w:spacing w:after="120" w:line="240" w:lineRule="auto"/>
              <w:contextualSpacing/>
              <w:jc w:val="both"/>
              <w:rPr>
                <w:rFonts w:cs="Calibri"/>
                <w:bCs/>
                <w:sz w:val="20"/>
                <w:szCs w:val="20"/>
                <w:lang w:eastAsia="pl-PL"/>
              </w:rPr>
            </w:pPr>
            <w:r>
              <w:rPr>
                <w:rFonts w:cs="Calibri"/>
                <w:bCs/>
                <w:sz w:val="20"/>
                <w:szCs w:val="20"/>
                <w:lang w:eastAsia="pl-PL"/>
              </w:rPr>
              <w:t xml:space="preserve">Uwzględniając specyficzny charakter projektów realizowanych w 2 celu szczegółowym POPC </w:t>
            </w:r>
            <w:r w:rsidR="00287250">
              <w:rPr>
                <w:rFonts w:cs="Calibri"/>
                <w:bCs/>
                <w:sz w:val="20"/>
                <w:szCs w:val="20"/>
                <w:lang w:eastAsia="pl-PL"/>
              </w:rPr>
              <w:t>nie sposób jest precyzyjnie przypisać je konkretnym obszarom</w:t>
            </w:r>
            <w:r w:rsidR="00FE203E">
              <w:rPr>
                <w:rFonts w:cs="Calibri"/>
                <w:bCs/>
                <w:sz w:val="20"/>
                <w:szCs w:val="20"/>
                <w:lang w:eastAsia="pl-PL"/>
              </w:rPr>
              <w:t xml:space="preserve"> (kategoriom regionów)</w:t>
            </w:r>
            <w:r>
              <w:rPr>
                <w:rFonts w:cs="Calibri"/>
                <w:bCs/>
                <w:sz w:val="20"/>
                <w:szCs w:val="20"/>
                <w:lang w:eastAsia="pl-PL"/>
              </w:rPr>
              <w:t>. Administracja centralna</w:t>
            </w:r>
            <w:r w:rsidR="007428E9">
              <w:rPr>
                <w:rStyle w:val="Odwoanieprzypisudolnego"/>
                <w:rFonts w:cs="Calibri"/>
                <w:bCs/>
                <w:sz w:val="20"/>
                <w:szCs w:val="20"/>
                <w:lang w:eastAsia="pl-PL"/>
              </w:rPr>
              <w:footnoteReference w:id="16"/>
            </w:r>
            <w:r>
              <w:rPr>
                <w:rFonts w:cs="Calibri"/>
                <w:bCs/>
                <w:sz w:val="20"/>
                <w:szCs w:val="20"/>
                <w:lang w:eastAsia="pl-PL"/>
              </w:rPr>
              <w:t xml:space="preserve"> stanowi przeważającą grupę potencjalnych beneficjentów w</w:t>
            </w:r>
            <w:r w:rsidR="00FD1436">
              <w:rPr>
                <w:rFonts w:cs="Calibri"/>
                <w:bCs/>
                <w:sz w:val="20"/>
                <w:szCs w:val="20"/>
                <w:lang w:eastAsia="pl-PL"/>
              </w:rPr>
              <w:t>sparcia, natomiast zlokalizowane</w:t>
            </w:r>
            <w:r w:rsidR="009A6CEB">
              <w:rPr>
                <w:rFonts w:cs="Calibri"/>
                <w:bCs/>
                <w:sz w:val="20"/>
                <w:szCs w:val="20"/>
                <w:lang w:eastAsia="pl-PL"/>
              </w:rPr>
              <w:t xml:space="preserve"> głó</w:t>
            </w:r>
            <w:r w:rsidR="00FD1436">
              <w:rPr>
                <w:rFonts w:cs="Calibri"/>
                <w:bCs/>
                <w:sz w:val="20"/>
                <w:szCs w:val="20"/>
                <w:lang w:eastAsia="pl-PL"/>
              </w:rPr>
              <w:t>wnie w Warszawie</w:t>
            </w:r>
            <w:r>
              <w:rPr>
                <w:rFonts w:cs="Calibri"/>
                <w:bCs/>
                <w:sz w:val="20"/>
                <w:szCs w:val="20"/>
                <w:lang w:eastAsia="pl-PL"/>
              </w:rPr>
              <w:t xml:space="preserve"> </w:t>
            </w:r>
            <w:r w:rsidR="00EC1386">
              <w:rPr>
                <w:rFonts w:cs="Calibri"/>
                <w:bCs/>
                <w:sz w:val="20"/>
                <w:szCs w:val="20"/>
                <w:lang w:eastAsia="pl-PL"/>
              </w:rPr>
              <w:t>i</w:t>
            </w:r>
            <w:r>
              <w:rPr>
                <w:rFonts w:cs="Calibri"/>
                <w:bCs/>
                <w:sz w:val="20"/>
                <w:szCs w:val="20"/>
                <w:lang w:eastAsia="pl-PL"/>
              </w:rPr>
              <w:t>nwestycje</w:t>
            </w:r>
            <w:r w:rsidR="00A4221A">
              <w:rPr>
                <w:rFonts w:cs="Calibri"/>
                <w:bCs/>
                <w:sz w:val="20"/>
                <w:szCs w:val="20"/>
                <w:lang w:eastAsia="pl-PL"/>
              </w:rPr>
              <w:t>,</w:t>
            </w:r>
            <w:r>
              <w:rPr>
                <w:rFonts w:cs="Calibri"/>
                <w:bCs/>
                <w:sz w:val="20"/>
                <w:szCs w:val="20"/>
                <w:lang w:eastAsia="pl-PL"/>
              </w:rPr>
              <w:t xml:space="preserve"> oddziaływać będą w skali całego kraju. </w:t>
            </w:r>
            <w:r w:rsidR="0034754C">
              <w:rPr>
                <w:rFonts w:cs="Calibri"/>
                <w:bCs/>
                <w:sz w:val="20"/>
                <w:szCs w:val="20"/>
                <w:lang w:eastAsia="pl-PL"/>
              </w:rPr>
              <w:t>Niemniej z</w:t>
            </w:r>
            <w:r w:rsidR="00803F6A">
              <w:rPr>
                <w:rFonts w:cs="Calibri"/>
                <w:bCs/>
                <w:sz w:val="20"/>
                <w:szCs w:val="20"/>
                <w:lang w:eastAsia="pl-PL"/>
              </w:rPr>
              <w:t>godnie</w:t>
            </w:r>
            <w:r w:rsidR="00381863">
              <w:rPr>
                <w:rFonts w:cs="Calibri"/>
                <w:bCs/>
                <w:sz w:val="20"/>
                <w:szCs w:val="20"/>
                <w:lang w:eastAsia="pl-PL"/>
              </w:rPr>
              <w:t xml:space="preserve"> z </w:t>
            </w:r>
            <w:r w:rsidR="0037048B">
              <w:rPr>
                <w:rFonts w:cs="Calibri"/>
                <w:bCs/>
                <w:sz w:val="20"/>
                <w:szCs w:val="20"/>
                <w:lang w:eastAsia="pl-PL"/>
              </w:rPr>
              <w:t>obowiązującymi zasadami</w:t>
            </w:r>
            <w:r w:rsidR="00531E9D">
              <w:rPr>
                <w:rFonts w:cs="Calibri"/>
                <w:bCs/>
                <w:sz w:val="20"/>
                <w:szCs w:val="20"/>
                <w:lang w:eastAsia="pl-PL"/>
              </w:rPr>
              <w:t xml:space="preserve"> </w:t>
            </w:r>
            <w:r w:rsidR="0037048B">
              <w:rPr>
                <w:rFonts w:cs="Calibri"/>
                <w:bCs/>
                <w:sz w:val="20"/>
                <w:szCs w:val="20"/>
                <w:lang w:eastAsia="pl-PL"/>
              </w:rPr>
              <w:t>finansowania</w:t>
            </w:r>
            <w:r w:rsidR="00A44CA5">
              <w:rPr>
                <w:rFonts w:cs="Calibri"/>
                <w:bCs/>
                <w:sz w:val="20"/>
                <w:szCs w:val="20"/>
                <w:lang w:eastAsia="pl-PL"/>
              </w:rPr>
              <w:t xml:space="preserve"> (</w:t>
            </w:r>
            <w:r w:rsidR="00803F6A">
              <w:rPr>
                <w:rFonts w:cs="Calibri"/>
                <w:bCs/>
                <w:sz w:val="20"/>
                <w:szCs w:val="20"/>
                <w:lang w:eastAsia="pl-PL"/>
              </w:rPr>
              <w:t xml:space="preserve">Rozporządzenie ogólne </w:t>
            </w:r>
            <w:r w:rsidR="00A44CA5">
              <w:rPr>
                <w:rFonts w:cs="Calibri"/>
                <w:bCs/>
                <w:sz w:val="20"/>
                <w:szCs w:val="20"/>
                <w:lang w:eastAsia="pl-PL"/>
              </w:rPr>
              <w:t>art. 120</w:t>
            </w:r>
            <w:r w:rsidR="00803F6A">
              <w:rPr>
                <w:rFonts w:cs="Calibri"/>
                <w:bCs/>
                <w:sz w:val="20"/>
                <w:szCs w:val="20"/>
                <w:lang w:eastAsia="pl-PL"/>
              </w:rPr>
              <w:t>; ust. 2; pkt b</w:t>
            </w:r>
            <w:r w:rsidR="00A44CA5">
              <w:rPr>
                <w:rFonts w:cs="Calibri"/>
                <w:bCs/>
                <w:sz w:val="20"/>
                <w:szCs w:val="20"/>
                <w:lang w:eastAsia="pl-PL"/>
              </w:rPr>
              <w:t xml:space="preserve">), na </w:t>
            </w:r>
            <w:r w:rsidR="0037048B">
              <w:rPr>
                <w:rFonts w:cs="Calibri"/>
                <w:bCs/>
                <w:sz w:val="20"/>
                <w:szCs w:val="20"/>
                <w:lang w:eastAsia="pl-PL"/>
              </w:rPr>
              <w:t xml:space="preserve">podstawie </w:t>
            </w:r>
            <w:r w:rsidR="00A44CA5">
              <w:rPr>
                <w:rFonts w:cs="Calibri"/>
                <w:bCs/>
                <w:sz w:val="20"/>
                <w:szCs w:val="20"/>
                <w:lang w:eastAsia="pl-PL"/>
              </w:rPr>
              <w:t xml:space="preserve">których Mazowsze posiada wyodrębnioną </w:t>
            </w:r>
            <w:r w:rsidR="00A44CA5">
              <w:rPr>
                <w:rFonts w:cs="Calibri"/>
                <w:bCs/>
                <w:sz w:val="20"/>
                <w:szCs w:val="20"/>
                <w:lang w:eastAsia="pl-PL"/>
              </w:rPr>
              <w:lastRenderedPageBreak/>
              <w:t>kopertę finansową</w:t>
            </w:r>
            <w:r w:rsidR="00803F6A">
              <w:rPr>
                <w:rFonts w:cs="Calibri"/>
                <w:bCs/>
                <w:sz w:val="20"/>
                <w:szCs w:val="20"/>
                <w:lang w:eastAsia="pl-PL"/>
              </w:rPr>
              <w:t xml:space="preserve"> cele </w:t>
            </w:r>
            <w:r w:rsidR="0007256F">
              <w:rPr>
                <w:rFonts w:cs="Calibri"/>
                <w:bCs/>
                <w:sz w:val="20"/>
                <w:szCs w:val="20"/>
                <w:lang w:eastAsia="pl-PL"/>
              </w:rPr>
              <w:t>II</w:t>
            </w:r>
            <w:r w:rsidR="00803F6A">
              <w:rPr>
                <w:rFonts w:cs="Calibri"/>
                <w:bCs/>
                <w:sz w:val="20"/>
                <w:szCs w:val="20"/>
                <w:lang w:eastAsia="pl-PL"/>
              </w:rPr>
              <w:t xml:space="preserve"> </w:t>
            </w:r>
            <w:r w:rsidR="00317FC4">
              <w:rPr>
                <w:rFonts w:cs="Calibri"/>
                <w:bCs/>
                <w:sz w:val="20"/>
                <w:szCs w:val="20"/>
                <w:lang w:eastAsia="pl-PL"/>
              </w:rPr>
              <w:t>o</w:t>
            </w:r>
            <w:r w:rsidR="00803F6A">
              <w:rPr>
                <w:rFonts w:cs="Calibri"/>
                <w:bCs/>
                <w:sz w:val="20"/>
                <w:szCs w:val="20"/>
                <w:lang w:eastAsia="pl-PL"/>
              </w:rPr>
              <w:t xml:space="preserve">si </w:t>
            </w:r>
            <w:r w:rsidR="00317FC4">
              <w:rPr>
                <w:rFonts w:cs="Calibri"/>
                <w:bCs/>
                <w:sz w:val="20"/>
                <w:szCs w:val="20"/>
                <w:lang w:eastAsia="pl-PL"/>
              </w:rPr>
              <w:t>p</w:t>
            </w:r>
            <w:r w:rsidR="00803F6A">
              <w:rPr>
                <w:rFonts w:cs="Calibri"/>
                <w:bCs/>
                <w:sz w:val="20"/>
                <w:szCs w:val="20"/>
                <w:lang w:eastAsia="pl-PL"/>
              </w:rPr>
              <w:t>riorytetowej zost</w:t>
            </w:r>
            <w:r w:rsidR="00B27FB5">
              <w:rPr>
                <w:rFonts w:cs="Calibri"/>
                <w:bCs/>
                <w:sz w:val="20"/>
                <w:szCs w:val="20"/>
                <w:lang w:eastAsia="pl-PL"/>
              </w:rPr>
              <w:t>ały</w:t>
            </w:r>
            <w:r w:rsidR="00803F6A">
              <w:rPr>
                <w:rFonts w:cs="Calibri"/>
                <w:bCs/>
                <w:sz w:val="20"/>
                <w:szCs w:val="20"/>
                <w:lang w:eastAsia="pl-PL"/>
              </w:rPr>
              <w:t xml:space="preserve"> podzielone </w:t>
            </w:r>
            <w:r w:rsidR="00B27FB5">
              <w:rPr>
                <w:rFonts w:cs="Calibri"/>
                <w:bCs/>
                <w:sz w:val="20"/>
                <w:szCs w:val="20"/>
                <w:lang w:eastAsia="pl-PL"/>
              </w:rPr>
              <w:t>pro - rata</w:t>
            </w:r>
            <w:r w:rsidR="00A4221A">
              <w:rPr>
                <w:rFonts w:cs="Calibri"/>
                <w:bCs/>
                <w:sz w:val="20"/>
                <w:szCs w:val="20"/>
                <w:lang w:eastAsia="pl-PL"/>
              </w:rPr>
              <w:t>. Aczkolwiek</w:t>
            </w:r>
            <w:r w:rsidR="00F6656A">
              <w:rPr>
                <w:rFonts w:cs="Calibri"/>
                <w:bCs/>
                <w:sz w:val="20"/>
                <w:szCs w:val="20"/>
                <w:lang w:eastAsia="pl-PL"/>
              </w:rPr>
              <w:t>,</w:t>
            </w:r>
            <w:r w:rsidR="00A4221A">
              <w:rPr>
                <w:rFonts w:cs="Calibri"/>
                <w:bCs/>
                <w:sz w:val="20"/>
                <w:szCs w:val="20"/>
                <w:lang w:eastAsia="pl-PL"/>
              </w:rPr>
              <w:t xml:space="preserve"> IZ POPC </w:t>
            </w:r>
            <w:r w:rsidR="00F6656A">
              <w:rPr>
                <w:rFonts w:cs="Calibri"/>
                <w:bCs/>
                <w:sz w:val="20"/>
                <w:szCs w:val="20"/>
                <w:lang w:eastAsia="pl-PL"/>
              </w:rPr>
              <w:t>powołując się na specyfikę</w:t>
            </w:r>
            <w:r w:rsidR="0034754C">
              <w:rPr>
                <w:rFonts w:cs="Calibri"/>
                <w:bCs/>
                <w:sz w:val="20"/>
                <w:szCs w:val="20"/>
                <w:lang w:eastAsia="pl-PL"/>
              </w:rPr>
              <w:t xml:space="preserve"> opisywanej Osi</w:t>
            </w:r>
            <w:r w:rsidR="00F6656A">
              <w:rPr>
                <w:rFonts w:cs="Calibri"/>
                <w:bCs/>
                <w:sz w:val="20"/>
                <w:szCs w:val="20"/>
                <w:lang w:eastAsia="pl-PL"/>
              </w:rPr>
              <w:t>,</w:t>
            </w:r>
            <w:r w:rsidR="00A4221A">
              <w:rPr>
                <w:rFonts w:cs="Calibri"/>
                <w:bCs/>
                <w:sz w:val="20"/>
                <w:szCs w:val="20"/>
                <w:lang w:eastAsia="pl-PL"/>
              </w:rPr>
              <w:t xml:space="preserve"> </w:t>
            </w:r>
            <w:r w:rsidR="001B40DA">
              <w:rPr>
                <w:rFonts w:cs="Calibri"/>
                <w:bCs/>
                <w:sz w:val="20"/>
                <w:szCs w:val="20"/>
                <w:lang w:eastAsia="pl-PL"/>
              </w:rPr>
              <w:t>uznaje za zasadne</w:t>
            </w:r>
            <w:r w:rsidR="00A4221A">
              <w:rPr>
                <w:rFonts w:cs="Calibri"/>
                <w:bCs/>
                <w:sz w:val="20"/>
                <w:szCs w:val="20"/>
                <w:lang w:eastAsia="pl-PL"/>
              </w:rPr>
              <w:t xml:space="preserve">, </w:t>
            </w:r>
            <w:r w:rsidR="001854F1">
              <w:rPr>
                <w:rFonts w:cs="Calibri"/>
                <w:bCs/>
                <w:sz w:val="20"/>
                <w:szCs w:val="20"/>
                <w:lang w:eastAsia="pl-PL"/>
              </w:rPr>
              <w:t xml:space="preserve">aby w tym przypadku </w:t>
            </w:r>
            <w:r w:rsidR="0034754C">
              <w:rPr>
                <w:rFonts w:cs="Calibri"/>
                <w:bCs/>
                <w:sz w:val="20"/>
                <w:szCs w:val="20"/>
                <w:lang w:eastAsia="pl-PL"/>
              </w:rPr>
              <w:t>ramy wykonania</w:t>
            </w:r>
            <w:r w:rsidR="008C647E">
              <w:rPr>
                <w:rFonts w:cs="Calibri"/>
                <w:bCs/>
                <w:sz w:val="20"/>
                <w:szCs w:val="20"/>
                <w:lang w:eastAsia="pl-PL"/>
              </w:rPr>
              <w:t xml:space="preserve"> </w:t>
            </w:r>
            <w:r w:rsidR="00957357">
              <w:rPr>
                <w:rFonts w:cs="Calibri"/>
                <w:bCs/>
                <w:sz w:val="20"/>
                <w:szCs w:val="20"/>
                <w:lang w:eastAsia="pl-PL"/>
              </w:rPr>
              <w:t xml:space="preserve">(szczególnie </w:t>
            </w:r>
            <w:r w:rsidR="0034754C">
              <w:rPr>
                <w:rFonts w:cs="Calibri"/>
                <w:bCs/>
                <w:sz w:val="20"/>
                <w:szCs w:val="20"/>
                <w:lang w:eastAsia="pl-PL"/>
              </w:rPr>
              <w:t xml:space="preserve">cele </w:t>
            </w:r>
            <w:r w:rsidR="00957357">
              <w:rPr>
                <w:rFonts w:cs="Calibri"/>
                <w:bCs/>
                <w:sz w:val="20"/>
                <w:szCs w:val="20"/>
                <w:lang w:eastAsia="pl-PL"/>
              </w:rPr>
              <w:t xml:space="preserve">produktowe) analizować </w:t>
            </w:r>
            <w:r w:rsidR="001854F1">
              <w:rPr>
                <w:rFonts w:cs="Calibri"/>
                <w:bCs/>
                <w:sz w:val="20"/>
                <w:szCs w:val="20"/>
                <w:lang w:eastAsia="pl-PL"/>
              </w:rPr>
              <w:t>w kontekście ogólnokrajowym.</w:t>
            </w:r>
            <w:r w:rsidR="00E85D38">
              <w:rPr>
                <w:rFonts w:cs="Calibri"/>
                <w:bCs/>
                <w:sz w:val="20"/>
                <w:szCs w:val="20"/>
                <w:lang w:eastAsia="pl-PL"/>
              </w:rPr>
              <w:t xml:space="preserve"> </w:t>
            </w:r>
          </w:p>
          <w:p w:rsidR="00BE0614" w:rsidRPr="00006AED" w:rsidRDefault="007C331A" w:rsidP="00BB5A64">
            <w:pPr>
              <w:spacing w:after="120" w:line="240" w:lineRule="auto"/>
              <w:contextualSpacing/>
              <w:jc w:val="both"/>
              <w:rPr>
                <w:rFonts w:cs="Calibri"/>
                <w:bCs/>
                <w:color w:val="FF0000"/>
                <w:sz w:val="20"/>
                <w:szCs w:val="20"/>
                <w:lang w:eastAsia="pl-PL"/>
              </w:rPr>
            </w:pPr>
            <w:r w:rsidRPr="00AC4CBE">
              <w:rPr>
                <w:rFonts w:cs="Calibri"/>
                <w:bCs/>
                <w:sz w:val="20"/>
                <w:szCs w:val="20"/>
                <w:lang w:eastAsia="pl-PL"/>
              </w:rPr>
              <w:t>Do monitoringu celu pośredniego IZ POPC zdecydowała się wykorzystać kluczowy etap wdrażania, tj.</w:t>
            </w:r>
            <w:r w:rsidR="00737C5C">
              <w:rPr>
                <w:rFonts w:cs="Calibri"/>
                <w:bCs/>
                <w:sz w:val="20"/>
                <w:szCs w:val="20"/>
                <w:lang w:eastAsia="pl-PL"/>
              </w:rPr>
              <w:t xml:space="preserve"> liczbę usług publicznych (udostępnionych on-line) liczoną z zakontraktowanych do 2018 r. projektów</w:t>
            </w:r>
            <w:r w:rsidRPr="00AC4CBE">
              <w:rPr>
                <w:rFonts w:cs="Calibri"/>
                <w:bCs/>
                <w:sz w:val="20"/>
                <w:szCs w:val="20"/>
                <w:lang w:eastAsia="pl-PL"/>
              </w:rPr>
              <w:t xml:space="preserve">. </w:t>
            </w:r>
            <w:r w:rsidR="006F0159">
              <w:rPr>
                <w:rFonts w:cs="Calibri"/>
                <w:bCs/>
                <w:sz w:val="20"/>
                <w:szCs w:val="20"/>
                <w:lang w:eastAsia="pl-PL"/>
              </w:rPr>
              <w:t xml:space="preserve">Jego wartość </w:t>
            </w:r>
            <w:r w:rsidR="00BE0614">
              <w:rPr>
                <w:rFonts w:cs="Calibri"/>
                <w:bCs/>
                <w:sz w:val="20"/>
                <w:szCs w:val="20"/>
                <w:lang w:eastAsia="pl-PL"/>
              </w:rPr>
              <w:t>oszacowano na poziomie</w:t>
            </w:r>
            <w:r w:rsidR="006F0159">
              <w:rPr>
                <w:rFonts w:cs="Calibri"/>
                <w:bCs/>
                <w:sz w:val="20"/>
                <w:szCs w:val="20"/>
                <w:lang w:eastAsia="pl-PL"/>
              </w:rPr>
              <w:t xml:space="preserve"> 2</w:t>
            </w:r>
            <w:r w:rsidR="00BE0614">
              <w:rPr>
                <w:rFonts w:cs="Calibri"/>
                <w:bCs/>
                <w:sz w:val="20"/>
                <w:szCs w:val="20"/>
                <w:lang w:eastAsia="pl-PL"/>
              </w:rPr>
              <w:t>6</w:t>
            </w:r>
            <w:r w:rsidR="006F0159">
              <w:rPr>
                <w:rFonts w:cs="Calibri"/>
                <w:bCs/>
                <w:sz w:val="20"/>
                <w:szCs w:val="20"/>
                <w:lang w:eastAsia="pl-PL"/>
              </w:rPr>
              <w:t xml:space="preserve"> udostępnionych e-usług</w:t>
            </w:r>
            <w:r w:rsidR="00BE0614">
              <w:rPr>
                <w:rFonts w:cs="Calibri"/>
                <w:bCs/>
                <w:sz w:val="20"/>
                <w:szCs w:val="20"/>
                <w:lang w:eastAsia="pl-PL"/>
              </w:rPr>
              <w:t xml:space="preserve">, która </w:t>
            </w:r>
            <w:r w:rsidR="006F0159">
              <w:rPr>
                <w:rFonts w:cs="Calibri"/>
                <w:bCs/>
                <w:sz w:val="20"/>
                <w:szCs w:val="20"/>
                <w:lang w:eastAsia="pl-PL"/>
              </w:rPr>
              <w:t xml:space="preserve">stanowi 16,5% </w:t>
            </w:r>
            <w:r w:rsidR="00BE0614">
              <w:rPr>
                <w:rFonts w:cs="Calibri"/>
                <w:bCs/>
                <w:sz w:val="20"/>
                <w:szCs w:val="20"/>
                <w:lang w:eastAsia="pl-PL"/>
              </w:rPr>
              <w:t xml:space="preserve">celu dla </w:t>
            </w:r>
            <w:r w:rsidR="006F0159">
              <w:rPr>
                <w:rFonts w:cs="Calibri"/>
                <w:bCs/>
                <w:sz w:val="20"/>
                <w:szCs w:val="20"/>
                <w:lang w:eastAsia="pl-PL"/>
              </w:rPr>
              <w:t>wskaźnika produktu ram wykonania</w:t>
            </w:r>
            <w:r w:rsidR="000348FE">
              <w:rPr>
                <w:rFonts w:cs="Calibri"/>
                <w:bCs/>
                <w:sz w:val="20"/>
                <w:szCs w:val="20"/>
                <w:lang w:eastAsia="pl-PL"/>
              </w:rPr>
              <w:t>.</w:t>
            </w:r>
            <w:r w:rsidR="006F0159">
              <w:rPr>
                <w:rFonts w:cs="Calibri"/>
                <w:bCs/>
                <w:sz w:val="20"/>
                <w:szCs w:val="20"/>
                <w:lang w:eastAsia="pl-PL"/>
              </w:rPr>
              <w:t xml:space="preserve"> Wpływ na stosunkową niską wydawałoby się wartość wskaźnika, </w:t>
            </w:r>
            <w:r w:rsidR="001E67AB">
              <w:rPr>
                <w:rFonts w:cs="Calibri"/>
                <w:bCs/>
                <w:sz w:val="20"/>
                <w:szCs w:val="20"/>
                <w:lang w:eastAsia="pl-PL"/>
              </w:rPr>
              <w:t>przy czym</w:t>
            </w:r>
            <w:r w:rsidR="006F0159">
              <w:rPr>
                <w:rFonts w:cs="Calibri"/>
                <w:bCs/>
                <w:sz w:val="20"/>
                <w:szCs w:val="20"/>
                <w:lang w:eastAsia="pl-PL"/>
              </w:rPr>
              <w:t xml:space="preserve"> realną do </w:t>
            </w:r>
            <w:r w:rsidR="007C2692">
              <w:rPr>
                <w:rFonts w:cs="Calibri"/>
                <w:bCs/>
                <w:sz w:val="20"/>
                <w:szCs w:val="20"/>
                <w:lang w:eastAsia="pl-PL"/>
              </w:rPr>
              <w:t>osiągnięcia</w:t>
            </w:r>
            <w:r w:rsidR="006F0159">
              <w:rPr>
                <w:rFonts w:cs="Calibri"/>
                <w:bCs/>
                <w:sz w:val="20"/>
                <w:szCs w:val="20"/>
                <w:lang w:eastAsia="pl-PL"/>
              </w:rPr>
              <w:t>,</w:t>
            </w:r>
            <w:r w:rsidR="001E67AB">
              <w:rPr>
                <w:rFonts w:cs="Calibri"/>
                <w:bCs/>
                <w:sz w:val="20"/>
                <w:szCs w:val="20"/>
                <w:lang w:eastAsia="pl-PL"/>
              </w:rPr>
              <w:t xml:space="preserve"> ma skomplikowany charakter wspieranych projektów, co wnika z dotychczasowych doświadczeń innych programów.</w:t>
            </w:r>
            <w:r w:rsidR="00006AED">
              <w:rPr>
                <w:rFonts w:cs="Calibri"/>
                <w:bCs/>
                <w:sz w:val="20"/>
                <w:szCs w:val="20"/>
                <w:lang w:eastAsia="pl-PL"/>
              </w:rPr>
              <w:t xml:space="preserve"> </w:t>
            </w:r>
            <w:r w:rsidRPr="00006AED">
              <w:rPr>
                <w:rFonts w:cs="Calibri"/>
                <w:bCs/>
                <w:sz w:val="20"/>
                <w:szCs w:val="20"/>
                <w:lang w:eastAsia="pl-PL"/>
              </w:rPr>
              <w:t>W odpowiedzi na problemy terminowej realizacji podobnych inwestycji w pespektywie 2007-2013</w:t>
            </w:r>
            <w:r w:rsidR="00606568">
              <w:rPr>
                <w:rFonts w:cs="Calibri"/>
                <w:bCs/>
                <w:sz w:val="20"/>
                <w:szCs w:val="20"/>
                <w:lang w:eastAsia="pl-PL"/>
              </w:rPr>
              <w:t xml:space="preserve"> </w:t>
            </w:r>
            <w:r w:rsidRPr="00006AED">
              <w:rPr>
                <w:rFonts w:cs="Calibri"/>
                <w:bCs/>
                <w:sz w:val="20"/>
                <w:szCs w:val="20"/>
                <w:lang w:eastAsia="pl-PL"/>
              </w:rPr>
              <w:t>r</w:t>
            </w:r>
            <w:r w:rsidR="00606568">
              <w:rPr>
                <w:rFonts w:cs="Calibri"/>
                <w:bCs/>
                <w:sz w:val="20"/>
                <w:szCs w:val="20"/>
                <w:lang w:eastAsia="pl-PL"/>
              </w:rPr>
              <w:t>oku</w:t>
            </w:r>
            <w:r w:rsidR="00606568" w:rsidRPr="00006AED">
              <w:rPr>
                <w:rFonts w:cs="Calibri"/>
                <w:bCs/>
                <w:sz w:val="20"/>
                <w:szCs w:val="20"/>
                <w:lang w:eastAsia="pl-PL"/>
              </w:rPr>
              <w:t xml:space="preserve">, </w:t>
            </w:r>
            <w:r w:rsidRPr="00006AED">
              <w:rPr>
                <w:rFonts w:cs="Calibri"/>
                <w:bCs/>
                <w:sz w:val="20"/>
                <w:szCs w:val="20"/>
                <w:lang w:eastAsia="pl-PL"/>
              </w:rPr>
              <w:t>obecnie już na samym początku sformułowano kryteria</w:t>
            </w:r>
            <w:r w:rsidR="001E67AB">
              <w:rPr>
                <w:rFonts w:cs="Calibri"/>
                <w:bCs/>
                <w:sz w:val="20"/>
                <w:szCs w:val="20"/>
                <w:lang w:eastAsia="pl-PL"/>
              </w:rPr>
              <w:t xml:space="preserve"> brzegowe</w:t>
            </w:r>
            <w:r w:rsidRPr="00006AED">
              <w:rPr>
                <w:rFonts w:cs="Calibri"/>
                <w:bCs/>
                <w:sz w:val="20"/>
                <w:szCs w:val="20"/>
                <w:lang w:eastAsia="pl-PL"/>
              </w:rPr>
              <w:t xml:space="preserve">, warunkujące </w:t>
            </w:r>
            <w:r w:rsidR="001E67AB">
              <w:rPr>
                <w:rFonts w:cs="Calibri"/>
                <w:bCs/>
                <w:sz w:val="20"/>
                <w:szCs w:val="20"/>
                <w:lang w:eastAsia="pl-PL"/>
              </w:rPr>
              <w:t>uzyskanie dofinansowania</w:t>
            </w:r>
            <w:r w:rsidRPr="00006AED">
              <w:rPr>
                <w:rFonts w:cs="Calibri"/>
                <w:bCs/>
                <w:sz w:val="20"/>
                <w:szCs w:val="20"/>
                <w:lang w:eastAsia="pl-PL"/>
              </w:rPr>
              <w:t>. Najbardziej wymagające są m.in. konieczność przygotowania podstaw prawnych oraz maksymaln</w:t>
            </w:r>
            <w:r w:rsidR="000348FE">
              <w:rPr>
                <w:rFonts w:cs="Calibri"/>
                <w:bCs/>
                <w:sz w:val="20"/>
                <w:szCs w:val="20"/>
                <w:lang w:eastAsia="pl-PL"/>
              </w:rPr>
              <w:t>ie</w:t>
            </w:r>
            <w:r w:rsidRPr="00006AED">
              <w:rPr>
                <w:rFonts w:cs="Calibri"/>
                <w:bCs/>
                <w:sz w:val="20"/>
                <w:szCs w:val="20"/>
                <w:lang w:eastAsia="pl-PL"/>
              </w:rPr>
              <w:t xml:space="preserve"> </w:t>
            </w:r>
            <w:r w:rsidR="000348FE" w:rsidRPr="00006AED">
              <w:rPr>
                <w:rFonts w:cs="Calibri"/>
                <w:bCs/>
                <w:sz w:val="20"/>
                <w:szCs w:val="20"/>
                <w:lang w:eastAsia="pl-PL"/>
              </w:rPr>
              <w:t xml:space="preserve">3 letni </w:t>
            </w:r>
            <w:r w:rsidRPr="00006AED">
              <w:rPr>
                <w:rFonts w:cs="Calibri"/>
                <w:bCs/>
                <w:sz w:val="20"/>
                <w:szCs w:val="20"/>
                <w:lang w:eastAsia="pl-PL"/>
              </w:rPr>
              <w:t>okres realizacji projektu. Mają one na celu zmobilizowanie przyszłych beneficjentów, aby składali przemyślane oraz możliwie najlepiej przygotowane projekty</w:t>
            </w:r>
            <w:r w:rsidR="000348FE">
              <w:rPr>
                <w:rFonts w:cs="Calibri"/>
                <w:bCs/>
                <w:sz w:val="20"/>
                <w:szCs w:val="20"/>
                <w:lang w:eastAsia="pl-PL"/>
              </w:rPr>
              <w:t xml:space="preserve"> wpisujące się w priorytety informatyzacji państwa</w:t>
            </w:r>
            <w:r w:rsidRPr="00006AED">
              <w:rPr>
                <w:rFonts w:cs="Calibri"/>
                <w:bCs/>
                <w:sz w:val="20"/>
                <w:szCs w:val="20"/>
                <w:lang w:eastAsia="pl-PL"/>
              </w:rPr>
              <w:t xml:space="preserve">. Ponadto, nie jest jeszcze przesądzona formuła organizowanych procedur konkursowych (również ewentualny harmonogram naborów), którą IZ POPC zdecyduje się przyjąć dla 2 celu szczegółowego. W związku z powyższym, </w:t>
            </w:r>
            <w:r w:rsidR="00E50398">
              <w:rPr>
                <w:rFonts w:cs="Calibri"/>
                <w:bCs/>
                <w:sz w:val="20"/>
                <w:szCs w:val="20"/>
                <w:lang w:eastAsia="pl-PL"/>
              </w:rPr>
              <w:t>kluczowy etap wdrażania</w:t>
            </w:r>
            <w:r w:rsidRPr="00006AED">
              <w:rPr>
                <w:rFonts w:cs="Calibri"/>
                <w:bCs/>
                <w:sz w:val="20"/>
                <w:szCs w:val="20"/>
                <w:lang w:eastAsia="pl-PL"/>
              </w:rPr>
              <w:t xml:space="preserve">, niesie ze sobą istotne wyzwanie i </w:t>
            </w:r>
            <w:r w:rsidR="001C3F6E">
              <w:rPr>
                <w:rFonts w:cs="Calibri"/>
                <w:bCs/>
                <w:sz w:val="20"/>
                <w:szCs w:val="20"/>
                <w:lang w:eastAsia="pl-PL"/>
              </w:rPr>
              <w:t>dlatego</w:t>
            </w:r>
            <w:r w:rsidR="00110299">
              <w:rPr>
                <w:rFonts w:cs="Calibri"/>
                <w:bCs/>
                <w:sz w:val="20"/>
                <w:szCs w:val="20"/>
                <w:lang w:eastAsia="pl-PL"/>
              </w:rPr>
              <w:t xml:space="preserve"> </w:t>
            </w:r>
            <w:r w:rsidRPr="00006AED">
              <w:rPr>
                <w:rFonts w:cs="Calibri"/>
                <w:bCs/>
                <w:sz w:val="20"/>
                <w:szCs w:val="20"/>
                <w:lang w:eastAsia="pl-PL"/>
              </w:rPr>
              <w:t xml:space="preserve">musi zostać rozważnie oszacowany. Posiadając stosunkowo niewiele informacji, zdecydowano, aby prognozować wskaźnik </w:t>
            </w:r>
            <w:r w:rsidR="001C3F6E">
              <w:rPr>
                <w:rFonts w:cs="Calibri"/>
                <w:bCs/>
                <w:sz w:val="20"/>
                <w:szCs w:val="20"/>
                <w:lang w:eastAsia="pl-PL"/>
              </w:rPr>
              <w:t xml:space="preserve"> w oparciu o 7 wybranych projektów, </w:t>
            </w:r>
            <w:r w:rsidR="007C2692">
              <w:rPr>
                <w:rFonts w:cs="Calibri"/>
                <w:bCs/>
                <w:sz w:val="20"/>
                <w:szCs w:val="20"/>
                <w:lang w:eastAsia="pl-PL"/>
              </w:rPr>
              <w:t>których orientacyjne koszty wytworzenia e-usług będą najwyższe</w:t>
            </w:r>
            <w:r w:rsidR="003375E0">
              <w:rPr>
                <w:rFonts w:cs="Calibri"/>
                <w:bCs/>
                <w:sz w:val="20"/>
                <w:szCs w:val="20"/>
                <w:lang w:eastAsia="pl-PL"/>
              </w:rPr>
              <w:t>,</w:t>
            </w:r>
            <w:r w:rsidR="007C2692">
              <w:rPr>
                <w:rFonts w:cs="Calibri"/>
                <w:bCs/>
                <w:sz w:val="20"/>
                <w:szCs w:val="20"/>
                <w:lang w:eastAsia="pl-PL"/>
              </w:rPr>
              <w:t xml:space="preserve"> spośród inwestycji wybranych w preselekcji</w:t>
            </w:r>
            <w:r w:rsidR="00110299">
              <w:rPr>
                <w:rFonts w:cs="Calibri"/>
                <w:bCs/>
                <w:sz w:val="20"/>
                <w:szCs w:val="20"/>
                <w:lang w:eastAsia="pl-PL"/>
              </w:rPr>
              <w:t>. Konsekwentnie</w:t>
            </w:r>
            <w:r w:rsidR="003375E0">
              <w:rPr>
                <w:rFonts w:cs="Calibri"/>
                <w:bCs/>
                <w:sz w:val="20"/>
                <w:szCs w:val="20"/>
                <w:lang w:eastAsia="pl-PL"/>
              </w:rPr>
              <w:t xml:space="preserve"> będą one </w:t>
            </w:r>
            <w:r w:rsidR="00E20F67">
              <w:rPr>
                <w:rFonts w:cs="Calibri"/>
                <w:bCs/>
                <w:sz w:val="20"/>
                <w:szCs w:val="20"/>
                <w:lang w:eastAsia="pl-PL"/>
              </w:rPr>
              <w:t>wymagać</w:t>
            </w:r>
            <w:r w:rsidR="003375E0">
              <w:rPr>
                <w:rFonts w:cs="Calibri"/>
                <w:bCs/>
                <w:sz w:val="20"/>
                <w:szCs w:val="20"/>
                <w:lang w:eastAsia="pl-PL"/>
              </w:rPr>
              <w:t xml:space="preserve"> </w:t>
            </w:r>
            <w:r w:rsidR="007C2692">
              <w:rPr>
                <w:rFonts w:cs="Calibri"/>
                <w:bCs/>
                <w:sz w:val="20"/>
                <w:szCs w:val="20"/>
                <w:lang w:eastAsia="pl-PL"/>
              </w:rPr>
              <w:t xml:space="preserve">znaczących nakładów finansowych, </w:t>
            </w:r>
            <w:r w:rsidR="00210AFF">
              <w:rPr>
                <w:rFonts w:cs="Calibri"/>
                <w:bCs/>
                <w:sz w:val="20"/>
                <w:szCs w:val="20"/>
                <w:lang w:eastAsia="pl-PL"/>
              </w:rPr>
              <w:t>osiągając KEW na poziomie 26 e-usług publicznych, w tym 24 w regionach słabiej rozwiniętych oraz 2 e-usługi stworzone na Mazowszu</w:t>
            </w:r>
            <w:r w:rsidR="0026391D">
              <w:rPr>
                <w:rStyle w:val="Odwoanieprzypisudolnego"/>
                <w:rFonts w:cs="Calibri"/>
                <w:bCs/>
                <w:sz w:val="20"/>
                <w:szCs w:val="20"/>
                <w:lang w:eastAsia="pl-PL"/>
              </w:rPr>
              <w:footnoteReference w:id="17"/>
            </w:r>
            <w:r w:rsidR="00AA2353">
              <w:rPr>
                <w:rFonts w:cs="Calibri"/>
                <w:bCs/>
                <w:sz w:val="20"/>
                <w:szCs w:val="20"/>
                <w:lang w:eastAsia="pl-PL"/>
              </w:rPr>
              <w:t>.</w:t>
            </w:r>
            <w:r w:rsidR="000A54FA">
              <w:rPr>
                <w:rFonts w:cs="Calibri"/>
                <w:bCs/>
                <w:sz w:val="20"/>
                <w:szCs w:val="20"/>
                <w:lang w:eastAsia="pl-PL"/>
              </w:rPr>
              <w:t xml:space="preserve"> </w:t>
            </w:r>
            <w:r w:rsidR="00E50398">
              <w:rPr>
                <w:rFonts w:cs="Calibri"/>
                <w:bCs/>
                <w:sz w:val="20"/>
                <w:szCs w:val="20"/>
                <w:lang w:eastAsia="pl-PL"/>
              </w:rPr>
              <w:t>Przy czym</w:t>
            </w:r>
            <w:r w:rsidR="000A54FA">
              <w:rPr>
                <w:rFonts w:cs="Calibri"/>
                <w:bCs/>
                <w:sz w:val="20"/>
                <w:szCs w:val="20"/>
                <w:lang w:eastAsia="pl-PL"/>
              </w:rPr>
              <w:t xml:space="preserve"> zakres przedmiotowy </w:t>
            </w:r>
            <w:r w:rsidR="004C3982">
              <w:rPr>
                <w:rFonts w:cs="Calibri"/>
                <w:bCs/>
                <w:sz w:val="20"/>
                <w:szCs w:val="20"/>
                <w:lang w:eastAsia="pl-PL"/>
              </w:rPr>
              <w:t>tych</w:t>
            </w:r>
            <w:r w:rsidR="000A54FA">
              <w:rPr>
                <w:rFonts w:cs="Calibri"/>
                <w:bCs/>
                <w:sz w:val="20"/>
                <w:szCs w:val="20"/>
                <w:lang w:eastAsia="pl-PL"/>
              </w:rPr>
              <w:t xml:space="preserve"> projektów </w:t>
            </w:r>
            <w:r w:rsidR="007C2692">
              <w:rPr>
                <w:rFonts w:cs="Calibri"/>
                <w:bCs/>
                <w:sz w:val="20"/>
                <w:szCs w:val="20"/>
                <w:lang w:eastAsia="pl-PL"/>
              </w:rPr>
              <w:t>wskazuje, że</w:t>
            </w:r>
            <w:r w:rsidR="003375E0">
              <w:rPr>
                <w:rFonts w:cs="Calibri"/>
                <w:bCs/>
                <w:sz w:val="20"/>
                <w:szCs w:val="20"/>
                <w:lang w:eastAsia="pl-PL"/>
              </w:rPr>
              <w:t xml:space="preserve"> uzyskane dzięki nim </w:t>
            </w:r>
            <w:r w:rsidR="0092661A">
              <w:rPr>
                <w:rFonts w:cs="Calibri"/>
                <w:bCs/>
                <w:sz w:val="20"/>
                <w:szCs w:val="20"/>
                <w:lang w:eastAsia="pl-PL"/>
              </w:rPr>
              <w:t>rozwiązania przyniosą korzyś</w:t>
            </w:r>
            <w:r w:rsidR="00E20F67">
              <w:rPr>
                <w:rFonts w:cs="Calibri"/>
                <w:bCs/>
                <w:sz w:val="20"/>
                <w:szCs w:val="20"/>
                <w:lang w:eastAsia="pl-PL"/>
              </w:rPr>
              <w:t xml:space="preserve">ci </w:t>
            </w:r>
            <w:r w:rsidR="0092661A">
              <w:rPr>
                <w:rFonts w:cs="Calibri"/>
                <w:bCs/>
                <w:sz w:val="20"/>
                <w:szCs w:val="20"/>
                <w:lang w:eastAsia="pl-PL"/>
              </w:rPr>
              <w:t>szerokiej grupie obywateli</w:t>
            </w:r>
            <w:r w:rsidR="004C3982">
              <w:rPr>
                <w:rFonts w:cs="Calibri"/>
                <w:bCs/>
                <w:sz w:val="20"/>
                <w:szCs w:val="20"/>
                <w:lang w:eastAsia="pl-PL"/>
              </w:rPr>
              <w:t>.</w:t>
            </w:r>
            <w:r w:rsidR="00E20F67">
              <w:rPr>
                <w:rFonts w:cs="Calibri"/>
                <w:bCs/>
                <w:sz w:val="20"/>
                <w:szCs w:val="20"/>
                <w:lang w:eastAsia="pl-PL"/>
              </w:rPr>
              <w:t xml:space="preserve"> Biorąc pod uwagę wymienione </w:t>
            </w:r>
            <w:r w:rsidR="00D01CF5">
              <w:rPr>
                <w:rFonts w:cs="Calibri"/>
                <w:bCs/>
                <w:sz w:val="20"/>
                <w:szCs w:val="20"/>
                <w:lang w:eastAsia="pl-PL"/>
              </w:rPr>
              <w:t>zależności, przyjęto założenie, że wybrane w ten sposób projek</w:t>
            </w:r>
            <w:r w:rsidR="0000186A">
              <w:rPr>
                <w:rFonts w:cs="Calibri"/>
                <w:bCs/>
                <w:sz w:val="20"/>
                <w:szCs w:val="20"/>
                <w:lang w:eastAsia="pl-PL"/>
              </w:rPr>
              <w:t>ty powinny zostać możliwie sprawnie zakontraktowane, a tworzone za ich pośrednictwem e-usługi</w:t>
            </w:r>
            <w:r w:rsidR="00BE0614">
              <w:rPr>
                <w:rFonts w:cs="Calibri"/>
                <w:bCs/>
                <w:sz w:val="20"/>
                <w:szCs w:val="20"/>
                <w:lang w:eastAsia="pl-PL"/>
              </w:rPr>
              <w:t xml:space="preserve"> </w:t>
            </w:r>
            <w:r w:rsidR="00D024D4">
              <w:rPr>
                <w:rFonts w:cs="Calibri"/>
                <w:bCs/>
                <w:sz w:val="20"/>
                <w:szCs w:val="20"/>
                <w:lang w:eastAsia="pl-PL"/>
              </w:rPr>
              <w:t>pozwolą zrealizować wskaźnik KEW.</w:t>
            </w:r>
          </w:p>
          <w:p w:rsidR="00607EC9" w:rsidRDefault="00607EC9" w:rsidP="00BB5A64">
            <w:pPr>
              <w:spacing w:after="120" w:line="240" w:lineRule="auto"/>
              <w:contextualSpacing/>
              <w:jc w:val="both"/>
              <w:rPr>
                <w:rFonts w:cs="Calibri"/>
                <w:bCs/>
                <w:sz w:val="20"/>
                <w:szCs w:val="20"/>
                <w:lang w:eastAsia="pl-PL"/>
              </w:rPr>
            </w:pPr>
            <w:r w:rsidRPr="00607EC9">
              <w:rPr>
                <w:rFonts w:cs="Calibri"/>
                <w:bCs/>
                <w:sz w:val="20"/>
                <w:szCs w:val="20"/>
                <w:lang w:eastAsia="pl-PL"/>
              </w:rPr>
              <w:t xml:space="preserve">Szacując wskaźnik finansowy wprowadzony do ram wykonania, dokonano analizy tempa wydatkowania środków w projektach wpisujących się w zakres interwencji </w:t>
            </w:r>
            <w:r w:rsidR="00317FC4">
              <w:rPr>
                <w:rFonts w:cs="Calibri"/>
                <w:bCs/>
                <w:sz w:val="20"/>
                <w:szCs w:val="20"/>
                <w:lang w:eastAsia="pl-PL"/>
              </w:rPr>
              <w:t>o</w:t>
            </w:r>
            <w:r w:rsidR="00317FC4" w:rsidRPr="00607EC9">
              <w:rPr>
                <w:rFonts w:cs="Calibri"/>
                <w:bCs/>
                <w:sz w:val="20"/>
                <w:szCs w:val="20"/>
                <w:lang w:eastAsia="pl-PL"/>
              </w:rPr>
              <w:t xml:space="preserve">si </w:t>
            </w:r>
            <w:r w:rsidR="00317FC4">
              <w:rPr>
                <w:rFonts w:cs="Calibri"/>
                <w:bCs/>
                <w:sz w:val="20"/>
                <w:szCs w:val="20"/>
                <w:lang w:eastAsia="pl-PL"/>
              </w:rPr>
              <w:t>p</w:t>
            </w:r>
            <w:r w:rsidR="00317FC4" w:rsidRPr="00607EC9">
              <w:rPr>
                <w:rFonts w:cs="Calibri"/>
                <w:bCs/>
                <w:sz w:val="20"/>
                <w:szCs w:val="20"/>
                <w:lang w:eastAsia="pl-PL"/>
              </w:rPr>
              <w:t xml:space="preserve">riorytetowej </w:t>
            </w:r>
            <w:r w:rsidR="00643A68">
              <w:rPr>
                <w:rFonts w:cs="Calibri"/>
                <w:bCs/>
                <w:sz w:val="20"/>
                <w:szCs w:val="20"/>
                <w:lang w:eastAsia="pl-PL"/>
              </w:rPr>
              <w:t>II</w:t>
            </w:r>
            <w:r w:rsidR="00643A68" w:rsidRPr="00607EC9">
              <w:rPr>
                <w:rFonts w:cs="Calibri"/>
                <w:bCs/>
                <w:sz w:val="20"/>
                <w:szCs w:val="20"/>
                <w:lang w:eastAsia="pl-PL"/>
              </w:rPr>
              <w:t xml:space="preserve"> </w:t>
            </w:r>
            <w:r w:rsidRPr="00607EC9">
              <w:rPr>
                <w:rFonts w:cs="Calibri"/>
                <w:bCs/>
                <w:sz w:val="20"/>
                <w:szCs w:val="20"/>
                <w:lang w:eastAsia="pl-PL"/>
              </w:rPr>
              <w:t xml:space="preserve">POPC, które w perspektywie finansowej 2007-2013 dofinansowane były w ramach </w:t>
            </w:r>
            <w:r w:rsidR="00317FC4">
              <w:rPr>
                <w:rFonts w:cs="Calibri"/>
                <w:bCs/>
                <w:sz w:val="20"/>
                <w:szCs w:val="20"/>
                <w:lang w:eastAsia="pl-PL"/>
              </w:rPr>
              <w:t>o</w:t>
            </w:r>
            <w:r w:rsidR="00317FC4" w:rsidRPr="00607EC9">
              <w:rPr>
                <w:rFonts w:cs="Calibri"/>
                <w:bCs/>
                <w:sz w:val="20"/>
                <w:szCs w:val="20"/>
                <w:lang w:eastAsia="pl-PL"/>
              </w:rPr>
              <w:t xml:space="preserve">si </w:t>
            </w:r>
            <w:r w:rsidRPr="00607EC9">
              <w:rPr>
                <w:rFonts w:cs="Calibri"/>
                <w:bCs/>
                <w:sz w:val="20"/>
                <w:szCs w:val="20"/>
                <w:lang w:eastAsia="pl-PL"/>
              </w:rPr>
              <w:t xml:space="preserve">7 POIG: </w:t>
            </w:r>
            <w:r w:rsidRPr="00607EC9">
              <w:rPr>
                <w:rFonts w:cs="Calibri"/>
                <w:bCs/>
                <w:i/>
                <w:sz w:val="20"/>
                <w:szCs w:val="20"/>
                <w:lang w:eastAsia="pl-PL"/>
              </w:rPr>
              <w:t>Społeczeństwo informacyjne - budowa elektronicznej administracji.</w:t>
            </w:r>
            <w:r w:rsidRPr="00607EC9">
              <w:rPr>
                <w:rFonts w:cs="Calibri"/>
                <w:bCs/>
                <w:sz w:val="20"/>
                <w:szCs w:val="20"/>
                <w:lang w:eastAsia="pl-PL"/>
              </w:rPr>
              <w:t xml:space="preserve"> </w:t>
            </w:r>
          </w:p>
          <w:p w:rsidR="00607EC9" w:rsidRPr="00607EC9" w:rsidRDefault="00607EC9" w:rsidP="00BB5A64">
            <w:pPr>
              <w:spacing w:after="120" w:line="240" w:lineRule="auto"/>
              <w:contextualSpacing/>
              <w:jc w:val="both"/>
              <w:rPr>
                <w:rFonts w:cs="Calibri"/>
                <w:bCs/>
                <w:sz w:val="20"/>
                <w:szCs w:val="20"/>
                <w:lang w:eastAsia="pl-PL"/>
              </w:rPr>
            </w:pPr>
            <w:r w:rsidRPr="00607EC9">
              <w:rPr>
                <w:rFonts w:cs="Calibri"/>
                <w:bCs/>
                <w:sz w:val="20"/>
                <w:szCs w:val="20"/>
                <w:lang w:eastAsia="pl-PL"/>
              </w:rPr>
              <w:t xml:space="preserve">W </w:t>
            </w:r>
            <w:r w:rsidR="00505E5C">
              <w:rPr>
                <w:rFonts w:cs="Calibri"/>
                <w:bCs/>
                <w:sz w:val="20"/>
                <w:szCs w:val="20"/>
                <w:lang w:eastAsia="pl-PL"/>
              </w:rPr>
              <w:t>7 osi POIG</w:t>
            </w:r>
            <w:r w:rsidRPr="00607EC9">
              <w:rPr>
                <w:rFonts w:cs="Calibri"/>
                <w:bCs/>
                <w:sz w:val="20"/>
                <w:szCs w:val="20"/>
                <w:lang w:eastAsia="pl-PL"/>
              </w:rPr>
              <w:t xml:space="preserve"> realizowanych jest 37 projektów o wartości wydatków kwalifikowalnych </w:t>
            </w:r>
            <w:r w:rsidR="00505E5C">
              <w:rPr>
                <w:rFonts w:cs="Calibri"/>
                <w:bCs/>
                <w:sz w:val="20"/>
                <w:szCs w:val="20"/>
                <w:lang w:eastAsia="pl-PL"/>
              </w:rPr>
              <w:t xml:space="preserve">w wysokości </w:t>
            </w:r>
            <w:r w:rsidRPr="00607EC9">
              <w:rPr>
                <w:rFonts w:cs="Calibri"/>
                <w:bCs/>
                <w:sz w:val="20"/>
                <w:szCs w:val="20"/>
                <w:lang w:eastAsia="pl-PL"/>
              </w:rPr>
              <w:t>4,0 mld PLN, w tym</w:t>
            </w:r>
            <w:r w:rsidR="00606568">
              <w:rPr>
                <w:rFonts w:cs="Calibri"/>
                <w:bCs/>
                <w:sz w:val="20"/>
                <w:szCs w:val="20"/>
                <w:lang w:eastAsia="pl-PL"/>
              </w:rPr>
              <w:t xml:space="preserve"> </w:t>
            </w:r>
            <w:r w:rsidRPr="00607EC9">
              <w:rPr>
                <w:rFonts w:cs="Calibri"/>
                <w:bCs/>
                <w:sz w:val="20"/>
                <w:szCs w:val="20"/>
                <w:lang w:eastAsia="pl-PL"/>
              </w:rPr>
              <w:t>3,3</w:t>
            </w:r>
            <w:r w:rsidR="00505E5C">
              <w:rPr>
                <w:rFonts w:cs="Calibri"/>
                <w:bCs/>
                <w:sz w:val="20"/>
                <w:szCs w:val="20"/>
                <w:lang w:eastAsia="pl-PL"/>
              </w:rPr>
              <w:t xml:space="preserve"> mld PLN</w:t>
            </w:r>
            <w:r w:rsidRPr="00607EC9">
              <w:rPr>
                <w:rFonts w:cs="Calibri"/>
                <w:bCs/>
                <w:sz w:val="20"/>
                <w:szCs w:val="20"/>
                <w:lang w:eastAsia="pl-PL"/>
              </w:rPr>
              <w:t xml:space="preserve"> dofinansowania ze środków UE. Pierwsze wydatki wykazane we wnioskach o płatność</w:t>
            </w:r>
            <w:r>
              <w:rPr>
                <w:rFonts w:cs="Calibri"/>
                <w:bCs/>
                <w:sz w:val="20"/>
                <w:szCs w:val="20"/>
                <w:lang w:eastAsia="pl-PL"/>
              </w:rPr>
              <w:t xml:space="preserve"> na poziomie 199,3 mln </w:t>
            </w:r>
            <w:r w:rsidRPr="00607EC9">
              <w:rPr>
                <w:rFonts w:cs="Calibri"/>
                <w:bCs/>
                <w:sz w:val="20"/>
                <w:szCs w:val="20"/>
                <w:lang w:eastAsia="pl-PL"/>
              </w:rPr>
              <w:t>PLN odnotowano w 2009 roku (tj. roku zawarcia pierwszych umów o dofinansowanie projektów). Podobne wartości wydatków kwalifikowalnych odnotowano w dwóch kolejnych latach</w:t>
            </w:r>
            <w:r w:rsidR="00505E5C">
              <w:rPr>
                <w:rFonts w:cs="Calibri"/>
                <w:bCs/>
                <w:sz w:val="20"/>
                <w:szCs w:val="20"/>
                <w:lang w:eastAsia="pl-PL"/>
              </w:rPr>
              <w:t xml:space="preserve"> tzn.</w:t>
            </w:r>
            <w:r w:rsidRPr="00607EC9">
              <w:rPr>
                <w:rFonts w:cs="Calibri"/>
                <w:bCs/>
                <w:sz w:val="20"/>
                <w:szCs w:val="20"/>
                <w:lang w:eastAsia="pl-PL"/>
              </w:rPr>
              <w:t>: 183,0 mln PLN w 2010</w:t>
            </w:r>
            <w:r w:rsidR="00554B27">
              <w:rPr>
                <w:rFonts w:cs="Calibri"/>
                <w:bCs/>
                <w:sz w:val="20"/>
                <w:szCs w:val="20"/>
                <w:lang w:eastAsia="pl-PL"/>
              </w:rPr>
              <w:t xml:space="preserve"> </w:t>
            </w:r>
            <w:r w:rsidR="00505E5C">
              <w:rPr>
                <w:rFonts w:cs="Calibri"/>
                <w:bCs/>
                <w:sz w:val="20"/>
                <w:szCs w:val="20"/>
                <w:lang w:eastAsia="pl-PL"/>
              </w:rPr>
              <w:t>r</w:t>
            </w:r>
            <w:r w:rsidR="00554B27">
              <w:rPr>
                <w:rFonts w:cs="Calibri"/>
                <w:bCs/>
                <w:sz w:val="20"/>
                <w:szCs w:val="20"/>
                <w:lang w:eastAsia="pl-PL"/>
              </w:rPr>
              <w:t>oku</w:t>
            </w:r>
            <w:r w:rsidRPr="00607EC9">
              <w:rPr>
                <w:rFonts w:cs="Calibri"/>
                <w:bCs/>
                <w:sz w:val="20"/>
                <w:szCs w:val="20"/>
                <w:lang w:eastAsia="pl-PL"/>
              </w:rPr>
              <w:t xml:space="preserve"> i 194,9 mln PLN w 2011 r</w:t>
            </w:r>
            <w:r w:rsidR="00554B27">
              <w:rPr>
                <w:rFonts w:cs="Calibri"/>
                <w:bCs/>
                <w:sz w:val="20"/>
                <w:szCs w:val="20"/>
                <w:lang w:eastAsia="pl-PL"/>
              </w:rPr>
              <w:t>oku</w:t>
            </w:r>
            <w:r w:rsidRPr="00607EC9">
              <w:rPr>
                <w:rFonts w:cs="Calibri"/>
                <w:bCs/>
                <w:sz w:val="20"/>
                <w:szCs w:val="20"/>
                <w:lang w:eastAsia="pl-PL"/>
              </w:rPr>
              <w:t xml:space="preserve">. </w:t>
            </w:r>
          </w:p>
          <w:p w:rsidR="00607EC9" w:rsidRPr="007C331A" w:rsidRDefault="00607EC9" w:rsidP="00D47E99">
            <w:pPr>
              <w:spacing w:after="120" w:line="240" w:lineRule="auto"/>
              <w:contextualSpacing/>
              <w:jc w:val="both"/>
              <w:rPr>
                <w:rFonts w:cs="Calibri"/>
                <w:bCs/>
                <w:color w:val="FF0000"/>
                <w:sz w:val="20"/>
                <w:szCs w:val="20"/>
                <w:lang w:eastAsia="pl-PL"/>
              </w:rPr>
            </w:pPr>
            <w:r w:rsidRPr="00607EC9">
              <w:rPr>
                <w:rFonts w:cs="Calibri"/>
                <w:bCs/>
                <w:sz w:val="20"/>
                <w:szCs w:val="20"/>
                <w:lang w:eastAsia="pl-PL"/>
              </w:rPr>
              <w:t>Szybsze tempo odnotowano w 2012</w:t>
            </w:r>
            <w:r w:rsidR="009C3188">
              <w:rPr>
                <w:rFonts w:cs="Calibri"/>
                <w:bCs/>
                <w:sz w:val="20"/>
                <w:szCs w:val="20"/>
                <w:lang w:eastAsia="pl-PL"/>
              </w:rPr>
              <w:t xml:space="preserve"> roku</w:t>
            </w:r>
            <w:r w:rsidRPr="00607EC9">
              <w:rPr>
                <w:rFonts w:cs="Calibri"/>
                <w:bCs/>
                <w:sz w:val="20"/>
                <w:szCs w:val="20"/>
                <w:lang w:eastAsia="pl-PL"/>
              </w:rPr>
              <w:t xml:space="preserve">, gdzie wartość wydatków kwalifikowalnych we wnioskach o płatność wyniosła 573,9 mln PLN oraz </w:t>
            </w:r>
            <w:r w:rsidR="00505E5C" w:rsidRPr="00607EC9">
              <w:rPr>
                <w:rFonts w:cs="Calibri"/>
                <w:bCs/>
                <w:sz w:val="20"/>
                <w:szCs w:val="20"/>
                <w:lang w:eastAsia="pl-PL"/>
              </w:rPr>
              <w:t xml:space="preserve">936,1 mln PLN </w:t>
            </w:r>
            <w:r w:rsidRPr="00607EC9">
              <w:rPr>
                <w:rFonts w:cs="Calibri"/>
                <w:bCs/>
                <w:sz w:val="20"/>
                <w:szCs w:val="20"/>
                <w:lang w:eastAsia="pl-PL"/>
              </w:rPr>
              <w:t>w roku 2013</w:t>
            </w:r>
            <w:r w:rsidR="00505E5C">
              <w:rPr>
                <w:rFonts w:cs="Calibri"/>
                <w:bCs/>
                <w:sz w:val="20"/>
                <w:szCs w:val="20"/>
                <w:lang w:eastAsia="pl-PL"/>
              </w:rPr>
              <w:t>.</w:t>
            </w:r>
            <w:r w:rsidRPr="00607EC9">
              <w:rPr>
                <w:rFonts w:cs="Calibri"/>
                <w:bCs/>
                <w:sz w:val="20"/>
                <w:szCs w:val="20"/>
                <w:lang w:eastAsia="pl-PL"/>
              </w:rPr>
              <w:t xml:space="preserve"> Według stanu na maj 2014 roku wartość wydatków kwalifikowalnych w części UE stanowi 55% alokacji na </w:t>
            </w:r>
            <w:r w:rsidR="001B40DA">
              <w:rPr>
                <w:rFonts w:cs="Calibri"/>
                <w:bCs/>
                <w:sz w:val="20"/>
                <w:szCs w:val="20"/>
                <w:lang w:eastAsia="pl-PL"/>
              </w:rPr>
              <w:t>o</w:t>
            </w:r>
            <w:r w:rsidRPr="00607EC9">
              <w:rPr>
                <w:rFonts w:cs="Calibri"/>
                <w:bCs/>
                <w:sz w:val="20"/>
                <w:szCs w:val="20"/>
                <w:lang w:eastAsia="pl-PL"/>
              </w:rPr>
              <w:t xml:space="preserve">ś 7 POIG, zaś na koniec 2011 roku </w:t>
            </w:r>
            <w:r w:rsidR="003519AD">
              <w:rPr>
                <w:rFonts w:cs="Calibri"/>
                <w:bCs/>
                <w:sz w:val="20"/>
                <w:szCs w:val="20"/>
                <w:lang w:eastAsia="pl-PL"/>
              </w:rPr>
              <w:br/>
            </w:r>
            <w:r w:rsidRPr="00607EC9">
              <w:rPr>
                <w:rFonts w:cs="Calibri"/>
                <w:bCs/>
                <w:sz w:val="20"/>
                <w:szCs w:val="20"/>
                <w:lang w:eastAsia="pl-PL"/>
              </w:rPr>
              <w:t xml:space="preserve">tj. odpowiednika roku 2018 dla nowej perspektywy, wydatki stanowiły 17,3% alokacji. </w:t>
            </w:r>
            <w:r w:rsidR="00505E5C">
              <w:rPr>
                <w:rFonts w:cs="Calibri"/>
                <w:bCs/>
                <w:sz w:val="20"/>
                <w:szCs w:val="20"/>
                <w:lang w:eastAsia="pl-PL"/>
              </w:rPr>
              <w:t>Mając na uwadze powyższe, a także pamiętając o uwarunkowaniach wynikających</w:t>
            </w:r>
            <w:r w:rsidR="00AE5F3B">
              <w:rPr>
                <w:rFonts w:cs="Calibri"/>
                <w:bCs/>
                <w:sz w:val="20"/>
                <w:szCs w:val="20"/>
                <w:lang w:eastAsia="pl-PL"/>
              </w:rPr>
              <w:t xml:space="preserve"> z zasady N+3 </w:t>
            </w:r>
            <w:r w:rsidR="003713C9">
              <w:rPr>
                <w:rFonts w:cs="Calibri"/>
                <w:bCs/>
                <w:sz w:val="20"/>
                <w:szCs w:val="20"/>
                <w:lang w:eastAsia="pl-PL"/>
              </w:rPr>
              <w:t xml:space="preserve">oraz </w:t>
            </w:r>
            <w:r w:rsidR="00AE5F3B">
              <w:rPr>
                <w:rFonts w:cs="Calibri"/>
                <w:bCs/>
                <w:sz w:val="20"/>
                <w:szCs w:val="20"/>
                <w:lang w:eastAsia="pl-PL"/>
              </w:rPr>
              <w:t xml:space="preserve">mając na uwadze </w:t>
            </w:r>
            <w:r w:rsidR="003713C9">
              <w:rPr>
                <w:rFonts w:cs="Calibri"/>
                <w:bCs/>
                <w:sz w:val="20"/>
                <w:szCs w:val="20"/>
                <w:lang w:eastAsia="pl-PL"/>
              </w:rPr>
              <w:t xml:space="preserve">przyjęte przez KRMC </w:t>
            </w:r>
            <w:r w:rsidR="00AE5F3B">
              <w:rPr>
                <w:rFonts w:cs="Calibri"/>
                <w:bCs/>
                <w:sz w:val="20"/>
                <w:szCs w:val="20"/>
                <w:lang w:eastAsia="pl-PL"/>
              </w:rPr>
              <w:t xml:space="preserve">restrykcyjne </w:t>
            </w:r>
            <w:r w:rsidR="003713C9">
              <w:rPr>
                <w:rFonts w:cs="Calibri"/>
                <w:bCs/>
                <w:sz w:val="20"/>
                <w:szCs w:val="20"/>
                <w:lang w:eastAsia="pl-PL"/>
              </w:rPr>
              <w:t>warunki brzegowe, które będą musiały spełnić projekty ubiegające się o wsparcie w</w:t>
            </w:r>
            <w:r w:rsidR="00FB67BA">
              <w:rPr>
                <w:rFonts w:cs="Calibri"/>
                <w:bCs/>
                <w:sz w:val="20"/>
                <w:szCs w:val="20"/>
                <w:lang w:eastAsia="pl-PL"/>
              </w:rPr>
              <w:t> </w:t>
            </w:r>
            <w:r w:rsidR="003713C9">
              <w:rPr>
                <w:rFonts w:cs="Calibri"/>
                <w:bCs/>
                <w:sz w:val="20"/>
                <w:szCs w:val="20"/>
                <w:lang w:eastAsia="pl-PL"/>
              </w:rPr>
              <w:t>POPC</w:t>
            </w:r>
            <w:r w:rsidRPr="00607EC9">
              <w:rPr>
                <w:rFonts w:cs="Calibri"/>
                <w:bCs/>
                <w:sz w:val="20"/>
                <w:szCs w:val="20"/>
                <w:lang w:eastAsia="pl-PL"/>
              </w:rPr>
              <w:t xml:space="preserve">, </w:t>
            </w:r>
            <w:r w:rsidR="00FA2693">
              <w:rPr>
                <w:rFonts w:cs="Calibri"/>
                <w:bCs/>
                <w:sz w:val="20"/>
                <w:szCs w:val="20"/>
                <w:lang w:eastAsia="pl-PL"/>
              </w:rPr>
              <w:t>,</w:t>
            </w:r>
            <w:r w:rsidR="002E194D">
              <w:rPr>
                <w:rFonts w:cs="Calibri"/>
                <w:bCs/>
                <w:sz w:val="20"/>
                <w:szCs w:val="20"/>
                <w:lang w:eastAsia="pl-PL"/>
              </w:rPr>
              <w:t xml:space="preserve"> </w:t>
            </w:r>
            <w:r w:rsidRPr="00607EC9">
              <w:rPr>
                <w:rFonts w:cs="Calibri"/>
                <w:bCs/>
                <w:sz w:val="20"/>
                <w:szCs w:val="20"/>
                <w:lang w:eastAsia="pl-PL"/>
              </w:rPr>
              <w:t xml:space="preserve">przyjmuje się jako cel pośredni dla całkowitej kwoty certyfikowanych wydatków kwalifikowalnych poziom </w:t>
            </w:r>
            <w:r w:rsidR="002E194D">
              <w:rPr>
                <w:rFonts w:cs="Calibri"/>
                <w:bCs/>
                <w:sz w:val="20"/>
                <w:szCs w:val="20"/>
                <w:lang w:eastAsia="pl-PL"/>
              </w:rPr>
              <w:t>9</w:t>
            </w:r>
            <w:r w:rsidR="007672E8">
              <w:rPr>
                <w:rFonts w:cs="Calibri"/>
                <w:bCs/>
                <w:sz w:val="20"/>
                <w:szCs w:val="20"/>
                <w:lang w:eastAsia="pl-PL"/>
              </w:rPr>
              <w:t>,</w:t>
            </w:r>
            <w:r w:rsidR="002E194D">
              <w:rPr>
                <w:rFonts w:cs="Calibri"/>
                <w:bCs/>
                <w:sz w:val="20"/>
                <w:szCs w:val="20"/>
                <w:lang w:eastAsia="pl-PL"/>
              </w:rPr>
              <w:t>4</w:t>
            </w:r>
            <w:r w:rsidRPr="00607EC9">
              <w:rPr>
                <w:rFonts w:cs="Calibri"/>
                <w:bCs/>
                <w:sz w:val="20"/>
                <w:szCs w:val="20"/>
                <w:lang w:eastAsia="pl-PL"/>
              </w:rPr>
              <w:t>%</w:t>
            </w:r>
            <w:r w:rsidR="00FA2693">
              <w:rPr>
                <w:rFonts w:cs="Calibri"/>
                <w:bCs/>
                <w:sz w:val="20"/>
                <w:szCs w:val="20"/>
                <w:lang w:eastAsia="pl-PL"/>
              </w:rPr>
              <w:t xml:space="preserve">. Tak ustalony poziom </w:t>
            </w:r>
            <w:proofErr w:type="spellStart"/>
            <w:r w:rsidR="00FA2693">
              <w:rPr>
                <w:rFonts w:cs="Calibri"/>
                <w:bCs/>
                <w:sz w:val="20"/>
                <w:szCs w:val="20"/>
                <w:lang w:eastAsia="pl-PL"/>
              </w:rPr>
              <w:t>certyfikacji</w:t>
            </w:r>
            <w:r w:rsidR="00231390">
              <w:rPr>
                <w:rFonts w:cs="Calibri"/>
                <w:bCs/>
                <w:color w:val="000000"/>
                <w:sz w:val="20"/>
                <w:szCs w:val="20"/>
                <w:lang w:eastAsia="pl-PL"/>
              </w:rPr>
              <w:t>wynika</w:t>
            </w:r>
            <w:proofErr w:type="spellEnd"/>
            <w:r w:rsidR="00231390">
              <w:rPr>
                <w:rFonts w:cs="Calibri"/>
                <w:bCs/>
                <w:color w:val="000000"/>
                <w:sz w:val="20"/>
                <w:szCs w:val="20"/>
                <w:lang w:eastAsia="pl-PL"/>
              </w:rPr>
              <w:t xml:space="preserve"> w głównej mierze ze specyfiki projektów </w:t>
            </w:r>
            <w:r w:rsidR="00403678">
              <w:rPr>
                <w:rFonts w:cs="Calibri"/>
                <w:bCs/>
                <w:color w:val="000000"/>
                <w:sz w:val="20"/>
                <w:szCs w:val="20"/>
                <w:lang w:eastAsia="pl-PL"/>
              </w:rPr>
              <w:t>realizowanych w Osi 2</w:t>
            </w:r>
            <w:r w:rsidR="00231390">
              <w:rPr>
                <w:rFonts w:cs="Calibri"/>
                <w:bCs/>
                <w:color w:val="000000"/>
                <w:sz w:val="20"/>
                <w:szCs w:val="20"/>
                <w:lang w:eastAsia="pl-PL"/>
              </w:rPr>
              <w:t xml:space="preserve">, gdzie główne wydatki ponoszone są </w:t>
            </w:r>
            <w:r w:rsidR="00403678">
              <w:rPr>
                <w:rFonts w:cs="Calibri"/>
                <w:bCs/>
                <w:color w:val="000000"/>
                <w:sz w:val="20"/>
                <w:szCs w:val="20"/>
                <w:lang w:eastAsia="pl-PL"/>
              </w:rPr>
              <w:t xml:space="preserve">w ostatnim etapie realizacji projektu, kiedy to następuje odbiór wdrażanych systemów teleinformatycznych bądź </w:t>
            </w:r>
            <w:proofErr w:type="spellStart"/>
            <w:r w:rsidR="00403678">
              <w:rPr>
                <w:rFonts w:cs="Calibri"/>
                <w:bCs/>
                <w:color w:val="000000"/>
                <w:sz w:val="20"/>
                <w:szCs w:val="20"/>
                <w:lang w:eastAsia="pl-PL"/>
              </w:rPr>
              <w:t>zakupowanej</w:t>
            </w:r>
            <w:proofErr w:type="spellEnd"/>
            <w:r w:rsidR="00403678">
              <w:rPr>
                <w:rFonts w:cs="Calibri"/>
                <w:bCs/>
                <w:color w:val="000000"/>
                <w:sz w:val="20"/>
                <w:szCs w:val="20"/>
                <w:lang w:eastAsia="pl-PL"/>
              </w:rPr>
              <w:t xml:space="preserve"> infrastruktury</w:t>
            </w:r>
            <w:r w:rsidR="00FA2693" w:rsidRPr="00275402">
              <w:rPr>
                <w:rFonts w:cs="Calibri"/>
                <w:bCs/>
                <w:color w:val="000000"/>
                <w:sz w:val="20"/>
                <w:szCs w:val="20"/>
                <w:lang w:eastAsia="pl-PL"/>
              </w:rPr>
              <w:t xml:space="preserve">. </w:t>
            </w:r>
            <w:r w:rsidR="00D47E99" w:rsidRPr="004D021A">
              <w:rPr>
                <w:rFonts w:cs="Calibri"/>
                <w:bCs/>
                <w:color w:val="000000"/>
                <w:sz w:val="20"/>
                <w:szCs w:val="20"/>
                <w:lang w:eastAsia="pl-PL"/>
              </w:rPr>
              <w:t>Ponadto, w</w:t>
            </w:r>
            <w:r w:rsidR="00D47E99" w:rsidRPr="00B570A5">
              <w:rPr>
                <w:rFonts w:cs="Calibri"/>
                <w:sz w:val="20"/>
                <w:szCs w:val="20"/>
              </w:rPr>
              <w:t xml:space="preserve"> trakcie realizacji POPC opracowano nowy Program Zintegrowanej Informatyzacji Państwa (PZIP) wraz z dokumentem wykonawczym PZIP w postaci Planu Działań Ministra Cyfryzacji. Zmiany te miały bezpośredni wpływ na listę priorytetowych przedsięwzięć w II osi POPC, tzn. przełożyły się na konieczność opracowania nowych projektów lub redefiniowania istniejących.</w:t>
            </w:r>
            <w:r w:rsidR="00D47E99" w:rsidRPr="004D021A">
              <w:rPr>
                <w:rFonts w:cs="Calibri"/>
                <w:sz w:val="20"/>
                <w:szCs w:val="20"/>
              </w:rPr>
              <w:t xml:space="preserve"> </w:t>
            </w:r>
            <w:r w:rsidR="00FA2693" w:rsidRPr="00275402">
              <w:rPr>
                <w:rFonts w:cs="Calibri"/>
                <w:bCs/>
                <w:color w:val="000000"/>
                <w:sz w:val="20"/>
                <w:szCs w:val="20"/>
                <w:lang w:eastAsia="pl-PL"/>
              </w:rPr>
              <w:t>N</w:t>
            </w:r>
            <w:r w:rsidR="001F0EEE" w:rsidRPr="00275402">
              <w:rPr>
                <w:rFonts w:cs="Calibri"/>
                <w:bCs/>
                <w:color w:val="000000"/>
                <w:sz w:val="20"/>
                <w:szCs w:val="20"/>
                <w:lang w:eastAsia="pl-PL"/>
              </w:rPr>
              <w:t>a 2023 r.</w:t>
            </w:r>
            <w:r w:rsidR="00FA2693" w:rsidRPr="00B570A5">
              <w:rPr>
                <w:rFonts w:cs="Calibri"/>
                <w:bCs/>
                <w:color w:val="000000"/>
                <w:sz w:val="20"/>
                <w:szCs w:val="20"/>
                <w:lang w:eastAsia="pl-PL"/>
              </w:rPr>
              <w:t xml:space="preserve"> cel us</w:t>
            </w:r>
            <w:r w:rsidR="00FA2693">
              <w:rPr>
                <w:rFonts w:cs="Calibri"/>
                <w:bCs/>
                <w:color w:val="000000"/>
                <w:sz w:val="20"/>
                <w:szCs w:val="20"/>
                <w:lang w:eastAsia="pl-PL"/>
              </w:rPr>
              <w:t xml:space="preserve">tala się </w:t>
            </w:r>
            <w:r w:rsidR="001F0EEE" w:rsidRPr="00981B1C">
              <w:rPr>
                <w:rFonts w:cs="Calibri"/>
                <w:bCs/>
                <w:color w:val="000000"/>
                <w:sz w:val="20"/>
                <w:szCs w:val="20"/>
                <w:lang w:eastAsia="pl-PL"/>
              </w:rPr>
              <w:t xml:space="preserve">na poziomie </w:t>
            </w:r>
            <w:r w:rsidR="001F0EEE">
              <w:rPr>
                <w:rFonts w:cs="Calibri"/>
                <w:bCs/>
                <w:color w:val="000000"/>
                <w:sz w:val="20"/>
                <w:szCs w:val="20"/>
                <w:lang w:eastAsia="pl-PL"/>
              </w:rPr>
              <w:t>100</w:t>
            </w:r>
            <w:r w:rsidR="001F0EEE" w:rsidRPr="00981B1C">
              <w:rPr>
                <w:rFonts w:cs="Calibri"/>
                <w:bCs/>
                <w:color w:val="000000"/>
                <w:sz w:val="20"/>
                <w:szCs w:val="20"/>
                <w:lang w:eastAsia="pl-PL"/>
              </w:rPr>
              <w:t xml:space="preserve">% całkowitych wydatków kwalifikowalnych, przy czym </w:t>
            </w:r>
            <w:r w:rsidR="001F0EEE">
              <w:rPr>
                <w:rFonts w:cs="Calibri"/>
                <w:bCs/>
                <w:color w:val="000000"/>
                <w:sz w:val="20"/>
                <w:szCs w:val="20"/>
                <w:lang w:eastAsia="pl-PL"/>
              </w:rPr>
              <w:t>o</w:t>
            </w:r>
            <w:r w:rsidR="001F0EEE" w:rsidRPr="00242C62">
              <w:rPr>
                <w:sz w:val="20"/>
                <w:szCs w:val="20"/>
              </w:rPr>
              <w:t>cena realizacji wartości końcowej dla wskaźnika finansowego będzie uwzględniała również wydatki certyfikowane po 2023 r.</w:t>
            </w:r>
          </w:p>
        </w:tc>
      </w:tr>
    </w:tbl>
    <w:p w:rsidR="00B1411D" w:rsidRPr="00000E14" w:rsidRDefault="00B1411D" w:rsidP="00AC3726">
      <w:pPr>
        <w:spacing w:before="120" w:after="120"/>
        <w:contextualSpacing/>
        <w:jc w:val="both"/>
        <w:rPr>
          <w:rFonts w:cs="Calibri"/>
          <w:bCs/>
          <w:color w:val="FF0000"/>
          <w:sz w:val="20"/>
          <w:szCs w:val="20"/>
          <w:lang w:eastAsia="pl-PL"/>
        </w:rPr>
      </w:pPr>
    </w:p>
    <w:p w:rsidR="00CC10A7" w:rsidRPr="00597BF5" w:rsidRDefault="00CC10A7" w:rsidP="005419C5">
      <w:pPr>
        <w:numPr>
          <w:ilvl w:val="0"/>
          <w:numId w:val="12"/>
        </w:numPr>
        <w:spacing w:before="120" w:after="120"/>
        <w:contextualSpacing/>
        <w:jc w:val="both"/>
        <w:rPr>
          <w:rFonts w:cs="Calibri"/>
          <w:sz w:val="20"/>
          <w:szCs w:val="20"/>
        </w:rPr>
      </w:pPr>
      <w:r w:rsidRPr="00597BF5">
        <w:rPr>
          <w:rFonts w:cs="Calibri"/>
          <w:sz w:val="20"/>
          <w:szCs w:val="20"/>
        </w:rPr>
        <w:t>informacje o tym, jaka część alokacji finansowej dotyczy projektów, którym odpowiadają wskaźniki produktu i kluczowe etapy wdrażania określone w ramach wykonania, oraz wyjaśnienie sposobu obliczenia tej części: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726" w:rsidRPr="009812F7" w:rsidTr="00F8055F">
        <w:tc>
          <w:tcPr>
            <w:tcW w:w="9212" w:type="dxa"/>
            <w:shd w:val="clear" w:color="auto" w:fill="auto"/>
          </w:tcPr>
          <w:p w:rsidR="00AC3726" w:rsidRPr="00AC4CBE" w:rsidRDefault="007C331A" w:rsidP="000410B7">
            <w:pPr>
              <w:contextualSpacing/>
              <w:jc w:val="both"/>
            </w:pPr>
            <w:r w:rsidRPr="00AC4CBE">
              <w:rPr>
                <w:rFonts w:cs="Calibri"/>
                <w:bCs/>
                <w:sz w:val="20"/>
                <w:szCs w:val="20"/>
                <w:lang w:eastAsia="pl-PL"/>
              </w:rPr>
              <w:t xml:space="preserve">Wskaźnik </w:t>
            </w:r>
            <w:r w:rsidR="00FD1436" w:rsidRPr="00FD1436">
              <w:rPr>
                <w:rFonts w:cs="Calibri"/>
                <w:bCs/>
                <w:i/>
                <w:sz w:val="20"/>
                <w:szCs w:val="20"/>
                <w:lang w:eastAsia="pl-PL"/>
              </w:rPr>
              <w:t>Liczba usług publicznych udostępnionych on-line</w:t>
            </w:r>
            <w:r w:rsidR="00FD1436" w:rsidRPr="00FD1436">
              <w:rPr>
                <w:rFonts w:cs="Calibri"/>
                <w:bCs/>
                <w:sz w:val="20"/>
                <w:szCs w:val="20"/>
                <w:lang w:eastAsia="pl-PL"/>
              </w:rPr>
              <w:t xml:space="preserve"> </w:t>
            </w:r>
            <w:r w:rsidR="006C0AEA" w:rsidRPr="00597BF5">
              <w:rPr>
                <w:rFonts w:cs="Calibri"/>
                <w:bCs/>
                <w:i/>
                <w:sz w:val="20"/>
                <w:szCs w:val="20"/>
                <w:lang w:eastAsia="pl-PL"/>
              </w:rPr>
              <w:t xml:space="preserve">o poziomie dojrzałości co najmniej 3 (dwustronna </w:t>
            </w:r>
            <w:r w:rsidR="006C0AEA" w:rsidRPr="00597BF5">
              <w:rPr>
                <w:rFonts w:cs="Calibri"/>
                <w:bCs/>
                <w:i/>
                <w:sz w:val="20"/>
                <w:szCs w:val="20"/>
                <w:lang w:eastAsia="pl-PL"/>
              </w:rPr>
              <w:lastRenderedPageBreak/>
              <w:t xml:space="preserve">interakcja) </w:t>
            </w:r>
            <w:r w:rsidRPr="00AC4CBE">
              <w:rPr>
                <w:rFonts w:cs="Calibri"/>
                <w:bCs/>
                <w:sz w:val="20"/>
                <w:szCs w:val="20"/>
                <w:lang w:eastAsia="pl-PL"/>
              </w:rPr>
              <w:t xml:space="preserve">stanowi ważne źródło informacji na temat postępu rzeczowego  </w:t>
            </w:r>
            <w:r w:rsidR="000C62F5">
              <w:rPr>
                <w:rFonts w:cs="Calibri"/>
                <w:bCs/>
                <w:sz w:val="20"/>
                <w:szCs w:val="20"/>
                <w:lang w:eastAsia="pl-PL"/>
              </w:rPr>
              <w:t xml:space="preserve">II </w:t>
            </w:r>
            <w:r w:rsidRPr="00AC4CBE">
              <w:rPr>
                <w:rFonts w:cs="Calibri"/>
                <w:bCs/>
                <w:sz w:val="20"/>
                <w:szCs w:val="20"/>
                <w:lang w:eastAsia="pl-PL"/>
              </w:rPr>
              <w:t xml:space="preserve">osi priorytetowej </w:t>
            </w:r>
            <w:r w:rsidR="00143C19">
              <w:rPr>
                <w:rFonts w:cs="Calibri"/>
                <w:bCs/>
                <w:sz w:val="20"/>
                <w:szCs w:val="20"/>
                <w:lang w:eastAsia="pl-PL"/>
              </w:rPr>
              <w:t xml:space="preserve"> </w:t>
            </w:r>
            <w:r w:rsidRPr="00AC4CBE">
              <w:rPr>
                <w:rFonts w:cs="Calibri"/>
                <w:bCs/>
                <w:sz w:val="20"/>
                <w:szCs w:val="20"/>
                <w:lang w:eastAsia="pl-PL"/>
              </w:rPr>
              <w:t xml:space="preserve">POPC, jasno zdefiniowanej strategicznie, wpisującej się w 2 cel tematyczny oraz jeden </w:t>
            </w:r>
            <w:r w:rsidRPr="000C62F5">
              <w:rPr>
                <w:rFonts w:cs="Calibri"/>
                <w:bCs/>
                <w:sz w:val="20"/>
                <w:szCs w:val="20"/>
                <w:lang w:eastAsia="pl-PL"/>
              </w:rPr>
              <w:t>p</w:t>
            </w:r>
            <w:r w:rsidR="00995834" w:rsidRPr="000C62F5">
              <w:rPr>
                <w:rFonts w:cs="Calibri"/>
                <w:bCs/>
                <w:sz w:val="20"/>
                <w:szCs w:val="20"/>
                <w:lang w:eastAsia="pl-PL"/>
              </w:rPr>
              <w:t>riorytet inwestycyjny – nr 2.</w:t>
            </w:r>
            <w:r w:rsidR="007672E8" w:rsidRPr="000C62F5">
              <w:rPr>
                <w:rFonts w:cs="Calibri"/>
                <w:bCs/>
                <w:sz w:val="20"/>
                <w:szCs w:val="20"/>
                <w:lang w:eastAsia="pl-PL"/>
              </w:rPr>
              <w:t>c</w:t>
            </w:r>
            <w:r w:rsidR="00995834" w:rsidRPr="000C62F5">
              <w:rPr>
                <w:rFonts w:cs="Calibri"/>
                <w:bCs/>
                <w:sz w:val="20"/>
                <w:szCs w:val="20"/>
                <w:lang w:eastAsia="pl-PL"/>
              </w:rPr>
              <w:t xml:space="preserve"> </w:t>
            </w:r>
            <w:r w:rsidRPr="000C62F5">
              <w:rPr>
                <w:rFonts w:cs="Calibri"/>
                <w:bCs/>
                <w:sz w:val="20"/>
                <w:szCs w:val="20"/>
                <w:lang w:eastAsia="pl-PL"/>
              </w:rPr>
              <w:t xml:space="preserve">pn. </w:t>
            </w:r>
            <w:r w:rsidR="005515E2" w:rsidRPr="005515E2">
              <w:rPr>
                <w:rFonts w:cs="Calibri"/>
                <w:bCs/>
                <w:i/>
                <w:sz w:val="20"/>
                <w:szCs w:val="20"/>
                <w:lang w:eastAsia="pl-PL"/>
              </w:rPr>
              <w:t>Wzmocnienie zastosowań TIK dla e-administracji, e-uczenia się, e-włączenia społecznego, e-kultury i e-zdrowia</w:t>
            </w:r>
            <w:r w:rsidR="005515E2" w:rsidRPr="00597BF5" w:rsidDel="005515E2">
              <w:rPr>
                <w:rFonts w:cs="Calibri"/>
                <w:bCs/>
                <w:i/>
                <w:sz w:val="20"/>
                <w:szCs w:val="20"/>
                <w:lang w:eastAsia="pl-PL"/>
              </w:rPr>
              <w:t xml:space="preserve"> </w:t>
            </w:r>
            <w:r w:rsidRPr="00AC4CBE">
              <w:rPr>
                <w:rFonts w:cs="Calibri"/>
                <w:bCs/>
                <w:sz w:val="20"/>
                <w:szCs w:val="20"/>
                <w:lang w:eastAsia="pl-PL"/>
              </w:rPr>
              <w:t xml:space="preserve">Projekty realizujące niniejszy wskaźnik zostaną sklasyfikowane w 2 celu szczegółowym pn. </w:t>
            </w:r>
            <w:r w:rsidR="005515E2" w:rsidRPr="005515E2">
              <w:rPr>
                <w:rFonts w:cs="Calibri"/>
                <w:bCs/>
                <w:i/>
                <w:sz w:val="20"/>
                <w:szCs w:val="20"/>
                <w:lang w:eastAsia="pl-PL"/>
              </w:rPr>
              <w:t>Wysoka dostępność i jakość e-usług publicznych</w:t>
            </w:r>
            <w:r w:rsidRPr="00AC4CBE">
              <w:rPr>
                <w:rFonts w:cs="Calibri"/>
                <w:bCs/>
                <w:i/>
                <w:sz w:val="20"/>
                <w:szCs w:val="20"/>
                <w:lang w:eastAsia="pl-PL"/>
              </w:rPr>
              <w:t xml:space="preserve">, </w:t>
            </w:r>
            <w:r w:rsidRPr="00AC4CBE">
              <w:rPr>
                <w:rFonts w:cs="Calibri"/>
                <w:bCs/>
                <w:sz w:val="20"/>
                <w:szCs w:val="20"/>
                <w:lang w:eastAsia="pl-PL"/>
              </w:rPr>
              <w:t>na który przeznaczono 7</w:t>
            </w:r>
            <w:r w:rsidR="007672E8">
              <w:rPr>
                <w:rFonts w:cs="Calibri"/>
                <w:bCs/>
                <w:sz w:val="20"/>
                <w:szCs w:val="20"/>
                <w:lang w:eastAsia="pl-PL"/>
              </w:rPr>
              <w:t>2,6</w:t>
            </w:r>
            <w:r w:rsidRPr="00AC4CBE">
              <w:rPr>
                <w:rFonts w:cs="Calibri"/>
                <w:bCs/>
                <w:sz w:val="20"/>
                <w:szCs w:val="20"/>
                <w:lang w:eastAsia="pl-PL"/>
              </w:rPr>
              <w:t xml:space="preserve">% alokacji dla całej 2 osi. </w:t>
            </w:r>
          </w:p>
        </w:tc>
      </w:tr>
    </w:tbl>
    <w:p w:rsidR="00AB47C5" w:rsidRDefault="00AB47C5" w:rsidP="00341EDE">
      <w:pPr>
        <w:spacing w:before="120" w:after="120"/>
        <w:contextualSpacing/>
        <w:jc w:val="both"/>
      </w:pPr>
    </w:p>
    <w:p w:rsidR="00CC10A7" w:rsidRPr="00597BF5" w:rsidRDefault="00CC10A7" w:rsidP="00597BF5">
      <w:pPr>
        <w:numPr>
          <w:ilvl w:val="0"/>
          <w:numId w:val="12"/>
        </w:numPr>
        <w:spacing w:before="120" w:after="120"/>
        <w:contextualSpacing/>
        <w:jc w:val="both"/>
        <w:rPr>
          <w:rFonts w:cs="Calibri"/>
          <w:sz w:val="20"/>
          <w:szCs w:val="20"/>
        </w:rPr>
      </w:pPr>
      <w:r w:rsidRPr="00597BF5">
        <w:rPr>
          <w:rFonts w:cs="Calibri"/>
          <w:sz w:val="20"/>
          <w:szCs w:val="20"/>
        </w:rPr>
        <w:t>wyjaśnienie powodów wyboru danych wskaźników/KEW w odniesieniu do logiki interwencji zastosowanej w danej osi priorytetowej: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B47C5" w:rsidRPr="009812F7" w:rsidTr="0069625B">
        <w:tc>
          <w:tcPr>
            <w:tcW w:w="9212" w:type="dxa"/>
            <w:shd w:val="clear" w:color="auto" w:fill="auto"/>
          </w:tcPr>
          <w:p w:rsidR="00AB47C5" w:rsidRPr="00AC4CBE" w:rsidRDefault="00AB47C5" w:rsidP="00C86612">
            <w:pPr>
              <w:spacing w:after="0" w:line="240" w:lineRule="auto"/>
              <w:contextualSpacing/>
              <w:jc w:val="both"/>
              <w:rPr>
                <w:rFonts w:cs="Calibri"/>
                <w:bCs/>
                <w:sz w:val="20"/>
                <w:szCs w:val="20"/>
                <w:lang w:eastAsia="pl-PL"/>
              </w:rPr>
            </w:pPr>
            <w:r w:rsidRPr="00AC4CBE">
              <w:rPr>
                <w:rFonts w:cs="Calibri"/>
                <w:bCs/>
                <w:sz w:val="20"/>
                <w:szCs w:val="20"/>
                <w:lang w:eastAsia="pl-PL"/>
              </w:rPr>
              <w:t xml:space="preserve">Biorąc pod uwagę </w:t>
            </w:r>
            <w:r>
              <w:rPr>
                <w:rFonts w:cs="Calibri"/>
                <w:bCs/>
                <w:sz w:val="20"/>
                <w:szCs w:val="20"/>
                <w:lang w:eastAsia="pl-PL"/>
              </w:rPr>
              <w:t>złożony</w:t>
            </w:r>
            <w:r w:rsidRPr="00AC4CBE">
              <w:rPr>
                <w:rFonts w:cs="Calibri"/>
                <w:bCs/>
                <w:sz w:val="20"/>
                <w:szCs w:val="20"/>
                <w:lang w:eastAsia="pl-PL"/>
              </w:rPr>
              <w:t xml:space="preserve"> charakter przedsięwzięć dotyczących tworzenia e-usług publicznych, </w:t>
            </w:r>
            <w:r>
              <w:rPr>
                <w:rFonts w:cs="Calibri"/>
                <w:bCs/>
                <w:sz w:val="20"/>
                <w:szCs w:val="20"/>
                <w:lang w:eastAsia="pl-PL"/>
              </w:rPr>
              <w:br/>
            </w:r>
            <w:r w:rsidRPr="00AC4CBE">
              <w:rPr>
                <w:rFonts w:cs="Calibri"/>
                <w:bCs/>
                <w:sz w:val="20"/>
                <w:szCs w:val="20"/>
                <w:lang w:eastAsia="pl-PL"/>
              </w:rPr>
              <w:t xml:space="preserve">IZ POPC zdecydowała, że do ram wykonania cel pośredni będzie weryfikowany w oparciu o kluczowy etap wdrażania, </w:t>
            </w:r>
            <w:r w:rsidR="000410B7" w:rsidRPr="00597BF5">
              <w:rPr>
                <w:rFonts w:cs="Calibri"/>
                <w:bCs/>
                <w:sz w:val="20"/>
                <w:szCs w:val="20"/>
                <w:lang w:eastAsia="pl-PL"/>
              </w:rPr>
              <w:t>tj.</w:t>
            </w:r>
            <w:r w:rsidRPr="000C62F5">
              <w:rPr>
                <w:rFonts w:cs="Calibri"/>
                <w:bCs/>
                <w:sz w:val="20"/>
                <w:szCs w:val="20"/>
                <w:lang w:eastAsia="pl-PL"/>
              </w:rPr>
              <w:t xml:space="preserve"> </w:t>
            </w:r>
            <w:r w:rsidR="00467F15">
              <w:rPr>
                <w:rFonts w:cs="Calibri"/>
                <w:bCs/>
                <w:sz w:val="20"/>
                <w:szCs w:val="20"/>
                <w:lang w:eastAsia="pl-PL"/>
              </w:rPr>
              <w:t xml:space="preserve">liczbę usług publicznych </w:t>
            </w:r>
            <w:r w:rsidR="000410B7" w:rsidRPr="000410B7">
              <w:rPr>
                <w:rFonts w:cs="Calibri"/>
                <w:bCs/>
                <w:sz w:val="20"/>
                <w:szCs w:val="20"/>
                <w:lang w:eastAsia="pl-PL"/>
              </w:rPr>
              <w:t>udostępnionych on-line</w:t>
            </w:r>
            <w:r w:rsidR="000410B7" w:rsidRPr="00597BF5" w:rsidDel="000410B7">
              <w:rPr>
                <w:rFonts w:cs="Calibri"/>
                <w:bCs/>
                <w:sz w:val="20"/>
                <w:szCs w:val="20"/>
                <w:lang w:eastAsia="pl-PL"/>
              </w:rPr>
              <w:t xml:space="preserve"> </w:t>
            </w:r>
            <w:r w:rsidR="002C63E9">
              <w:rPr>
                <w:rFonts w:cs="Calibri"/>
                <w:bCs/>
                <w:sz w:val="20"/>
                <w:szCs w:val="20"/>
                <w:lang w:eastAsia="pl-PL"/>
              </w:rPr>
              <w:t>z zakontraktowanych umów</w:t>
            </w:r>
            <w:r w:rsidR="00467F15">
              <w:rPr>
                <w:rFonts w:cs="Calibri"/>
                <w:bCs/>
                <w:sz w:val="20"/>
                <w:szCs w:val="20"/>
                <w:lang w:eastAsia="pl-PL"/>
              </w:rPr>
              <w:t xml:space="preserve"> w ramach </w:t>
            </w:r>
            <w:r w:rsidRPr="000C62F5">
              <w:rPr>
                <w:rFonts w:cs="Calibri"/>
                <w:bCs/>
                <w:sz w:val="20"/>
                <w:szCs w:val="20"/>
                <w:lang w:eastAsia="pl-PL"/>
              </w:rPr>
              <w:t>2</w:t>
            </w:r>
            <w:r w:rsidRPr="00AC4CBE">
              <w:rPr>
                <w:rFonts w:cs="Calibri"/>
                <w:bCs/>
                <w:sz w:val="20"/>
                <w:szCs w:val="20"/>
                <w:lang w:eastAsia="pl-PL"/>
              </w:rPr>
              <w:t xml:space="preserve"> celu szczegółowego POPC. </w:t>
            </w:r>
            <w:r>
              <w:rPr>
                <w:rFonts w:cs="Calibri"/>
                <w:bCs/>
                <w:sz w:val="20"/>
                <w:szCs w:val="20"/>
                <w:lang w:eastAsia="pl-PL"/>
              </w:rPr>
              <w:t>Bardzo złożone i kosztowne projekty oraz</w:t>
            </w:r>
            <w:r w:rsidRPr="00AC4CBE">
              <w:rPr>
                <w:rFonts w:cs="Calibri"/>
                <w:bCs/>
                <w:sz w:val="20"/>
                <w:szCs w:val="20"/>
                <w:lang w:eastAsia="pl-PL"/>
              </w:rPr>
              <w:t xml:space="preserve"> specyfika sektora administracji, wymagają odpowiedniego czasu, </w:t>
            </w:r>
            <w:r w:rsidR="00C86612">
              <w:rPr>
                <w:rFonts w:cs="Calibri"/>
                <w:bCs/>
                <w:sz w:val="20"/>
                <w:szCs w:val="20"/>
                <w:lang w:eastAsia="pl-PL"/>
              </w:rPr>
              <w:t xml:space="preserve">który będzie potrzebny </w:t>
            </w:r>
            <w:r w:rsidRPr="00AC4CBE">
              <w:rPr>
                <w:rFonts w:cs="Calibri"/>
                <w:bCs/>
                <w:sz w:val="20"/>
                <w:szCs w:val="20"/>
                <w:lang w:eastAsia="pl-PL"/>
              </w:rPr>
              <w:t xml:space="preserve">do ich prawidłowej realizacji. Zarówno bowiem etap </w:t>
            </w:r>
            <w:r>
              <w:rPr>
                <w:rFonts w:cs="Calibri"/>
                <w:bCs/>
                <w:sz w:val="20"/>
                <w:szCs w:val="20"/>
                <w:lang w:eastAsia="pl-PL"/>
              </w:rPr>
              <w:t>przygotowawczy</w:t>
            </w:r>
            <w:r w:rsidRPr="00AC4CBE">
              <w:rPr>
                <w:rFonts w:cs="Calibri"/>
                <w:bCs/>
                <w:sz w:val="20"/>
                <w:szCs w:val="20"/>
                <w:lang w:eastAsia="pl-PL"/>
              </w:rPr>
              <w:t xml:space="preserve">, w którym wyróżnić należałoby stworzenie podstaw prawnych, jak również sama realizacja przedsięwzięcia i konieczność podjęcia wielu </w:t>
            </w:r>
            <w:r>
              <w:rPr>
                <w:rFonts w:cs="Calibri"/>
                <w:bCs/>
                <w:sz w:val="20"/>
                <w:szCs w:val="20"/>
                <w:lang w:eastAsia="pl-PL"/>
              </w:rPr>
              <w:t>złożonych</w:t>
            </w:r>
            <w:r w:rsidRPr="00AC4CBE">
              <w:rPr>
                <w:rFonts w:cs="Calibri"/>
                <w:bCs/>
                <w:sz w:val="20"/>
                <w:szCs w:val="20"/>
                <w:lang w:eastAsia="pl-PL"/>
              </w:rPr>
              <w:t xml:space="preserve"> zamówień publicznych, potwierdzają zasadność </w:t>
            </w:r>
            <w:r>
              <w:rPr>
                <w:rFonts w:cs="Calibri"/>
                <w:bCs/>
                <w:sz w:val="20"/>
                <w:szCs w:val="20"/>
                <w:lang w:eastAsia="pl-PL"/>
              </w:rPr>
              <w:t>przyjętego rozwiązania</w:t>
            </w:r>
            <w:r w:rsidRPr="00AC4CBE">
              <w:rPr>
                <w:rFonts w:cs="Calibri"/>
                <w:bCs/>
                <w:sz w:val="20"/>
                <w:szCs w:val="20"/>
                <w:lang w:eastAsia="pl-PL"/>
              </w:rPr>
              <w:t xml:space="preserve">. Należy zatem uwzględnić scenariusz, w którym do 2018 roku </w:t>
            </w:r>
            <w:r>
              <w:rPr>
                <w:rFonts w:cs="Calibri"/>
                <w:bCs/>
                <w:sz w:val="20"/>
                <w:szCs w:val="20"/>
                <w:lang w:eastAsia="pl-PL"/>
              </w:rPr>
              <w:t xml:space="preserve">nie </w:t>
            </w:r>
            <w:r w:rsidRPr="00AC4CBE">
              <w:rPr>
                <w:rFonts w:cs="Calibri"/>
                <w:bCs/>
                <w:sz w:val="20"/>
                <w:szCs w:val="20"/>
                <w:lang w:eastAsia="pl-PL"/>
              </w:rPr>
              <w:t xml:space="preserve">uda </w:t>
            </w:r>
            <w:r w:rsidR="00A7619F">
              <w:rPr>
                <w:rFonts w:cs="Calibri"/>
                <w:bCs/>
                <w:sz w:val="20"/>
                <w:szCs w:val="20"/>
                <w:lang w:eastAsia="pl-PL"/>
              </w:rPr>
              <w:t xml:space="preserve">się </w:t>
            </w:r>
            <w:r w:rsidRPr="00AC4CBE">
              <w:rPr>
                <w:rFonts w:cs="Calibri"/>
                <w:bCs/>
                <w:sz w:val="20"/>
                <w:szCs w:val="20"/>
                <w:lang w:eastAsia="pl-PL"/>
              </w:rPr>
              <w:t>zakończyć</w:t>
            </w:r>
            <w:r>
              <w:rPr>
                <w:rFonts w:cs="Calibri"/>
                <w:bCs/>
                <w:sz w:val="20"/>
                <w:szCs w:val="20"/>
                <w:lang w:eastAsia="pl-PL"/>
              </w:rPr>
              <w:t xml:space="preserve"> żadnego projektu</w:t>
            </w:r>
            <w:r w:rsidRPr="00AC4CBE">
              <w:rPr>
                <w:rFonts w:cs="Calibri"/>
                <w:bCs/>
                <w:sz w:val="20"/>
                <w:szCs w:val="20"/>
                <w:lang w:eastAsia="pl-PL"/>
              </w:rPr>
              <w:t xml:space="preserve">, tym samym wartość wskaźnika produktu ram wykonania pozostanie niewielka. </w:t>
            </w:r>
            <w:r w:rsidR="00FE4C5B">
              <w:rPr>
                <w:rFonts w:cs="Calibri"/>
                <w:bCs/>
                <w:sz w:val="20"/>
                <w:szCs w:val="20"/>
                <w:lang w:eastAsia="pl-PL"/>
              </w:rPr>
              <w:t xml:space="preserve">Należy </w:t>
            </w:r>
            <w:r w:rsidR="002C63E9">
              <w:rPr>
                <w:rFonts w:cs="Calibri"/>
                <w:bCs/>
                <w:sz w:val="20"/>
                <w:szCs w:val="20"/>
                <w:lang w:eastAsia="pl-PL"/>
              </w:rPr>
              <w:t>przy tym</w:t>
            </w:r>
            <w:r w:rsidR="00FE4C5B">
              <w:rPr>
                <w:rFonts w:cs="Calibri"/>
                <w:bCs/>
                <w:sz w:val="20"/>
                <w:szCs w:val="20"/>
                <w:lang w:eastAsia="pl-PL"/>
              </w:rPr>
              <w:t xml:space="preserve"> podkreślić</w:t>
            </w:r>
            <w:r w:rsidRPr="00AC4CBE">
              <w:rPr>
                <w:rFonts w:cs="Calibri"/>
                <w:bCs/>
                <w:sz w:val="20"/>
                <w:szCs w:val="20"/>
                <w:lang w:eastAsia="pl-PL"/>
              </w:rPr>
              <w:t xml:space="preserve">, </w:t>
            </w:r>
            <w:r w:rsidR="00FE4C5B">
              <w:rPr>
                <w:rFonts w:cs="Calibri"/>
                <w:bCs/>
                <w:sz w:val="20"/>
                <w:szCs w:val="20"/>
                <w:lang w:eastAsia="pl-PL"/>
              </w:rPr>
              <w:t>że kluczowy etap wdrażania jest</w:t>
            </w:r>
            <w:r w:rsidR="002C63E9">
              <w:rPr>
                <w:rFonts w:cs="Calibri"/>
                <w:bCs/>
                <w:sz w:val="20"/>
                <w:szCs w:val="20"/>
                <w:lang w:eastAsia="pl-PL"/>
              </w:rPr>
              <w:t xml:space="preserve"> pochodną wskaźnika produktu ram wykonania, mierząc jego postęp w kontekście </w:t>
            </w:r>
            <w:r w:rsidR="000C62F5">
              <w:rPr>
                <w:rFonts w:cs="Calibri"/>
                <w:bCs/>
                <w:sz w:val="20"/>
                <w:szCs w:val="20"/>
                <w:lang w:eastAsia="pl-PL"/>
              </w:rPr>
              <w:t>podpisanych</w:t>
            </w:r>
            <w:r w:rsidR="002C63E9">
              <w:rPr>
                <w:rFonts w:cs="Calibri"/>
                <w:bCs/>
                <w:sz w:val="20"/>
                <w:szCs w:val="20"/>
                <w:lang w:eastAsia="pl-PL"/>
              </w:rPr>
              <w:t xml:space="preserve"> umów</w:t>
            </w:r>
            <w:r w:rsidRPr="00AC4CBE">
              <w:rPr>
                <w:rFonts w:cs="Calibri"/>
                <w:bCs/>
                <w:sz w:val="20"/>
                <w:szCs w:val="20"/>
                <w:lang w:eastAsia="pl-PL"/>
              </w:rPr>
              <w:t>. Istnieje w związku</w:t>
            </w:r>
            <w:r w:rsidR="00467F15">
              <w:rPr>
                <w:rFonts w:cs="Calibri"/>
                <w:bCs/>
                <w:sz w:val="20"/>
                <w:szCs w:val="20"/>
                <w:lang w:eastAsia="pl-PL"/>
              </w:rPr>
              <w:t xml:space="preserve"> </w:t>
            </w:r>
            <w:r w:rsidRPr="00AC4CBE">
              <w:rPr>
                <w:rFonts w:cs="Calibri"/>
                <w:bCs/>
                <w:sz w:val="20"/>
                <w:szCs w:val="20"/>
                <w:lang w:eastAsia="pl-PL"/>
              </w:rPr>
              <w:t xml:space="preserve">z tym </w:t>
            </w:r>
            <w:r w:rsidR="002C63E9">
              <w:rPr>
                <w:rFonts w:cs="Calibri"/>
                <w:bCs/>
                <w:sz w:val="20"/>
                <w:szCs w:val="20"/>
                <w:lang w:eastAsia="pl-PL"/>
              </w:rPr>
              <w:t>duże prawdopodobieństwo</w:t>
            </w:r>
            <w:r w:rsidRPr="00AC4CBE">
              <w:rPr>
                <w:rFonts w:cs="Calibri"/>
                <w:bCs/>
                <w:sz w:val="20"/>
                <w:szCs w:val="20"/>
                <w:lang w:eastAsia="pl-PL"/>
              </w:rPr>
              <w:t xml:space="preserve">, że każdy </w:t>
            </w:r>
            <w:r>
              <w:rPr>
                <w:rFonts w:cs="Calibri"/>
                <w:bCs/>
                <w:sz w:val="20"/>
                <w:szCs w:val="20"/>
                <w:lang w:eastAsia="pl-PL"/>
              </w:rPr>
              <w:t>za</w:t>
            </w:r>
            <w:r w:rsidRPr="00AC4CBE">
              <w:rPr>
                <w:rFonts w:cs="Calibri"/>
                <w:bCs/>
                <w:sz w:val="20"/>
                <w:szCs w:val="20"/>
                <w:lang w:eastAsia="pl-PL"/>
              </w:rPr>
              <w:t>kontraktowany projekt wniesie oczekiwaną korzyść do</w:t>
            </w:r>
            <w:r w:rsidR="002C63E9">
              <w:rPr>
                <w:rFonts w:cs="Calibri"/>
                <w:bCs/>
                <w:sz w:val="20"/>
                <w:szCs w:val="20"/>
                <w:lang w:eastAsia="pl-PL"/>
              </w:rPr>
              <w:t xml:space="preserve"> </w:t>
            </w:r>
            <w:r w:rsidRPr="00AC4CBE">
              <w:rPr>
                <w:rFonts w:cs="Calibri"/>
                <w:bCs/>
                <w:sz w:val="20"/>
                <w:szCs w:val="20"/>
                <w:lang w:eastAsia="pl-PL"/>
              </w:rPr>
              <w:t xml:space="preserve">POPC, wypełniając </w:t>
            </w:r>
            <w:r w:rsidR="002C63E9">
              <w:rPr>
                <w:rFonts w:cs="Calibri"/>
                <w:bCs/>
                <w:sz w:val="20"/>
                <w:szCs w:val="20"/>
                <w:lang w:eastAsia="pl-PL"/>
              </w:rPr>
              <w:t>tym samym</w:t>
            </w:r>
            <w:r w:rsidR="002C63E9" w:rsidRPr="00AC4CBE">
              <w:rPr>
                <w:rFonts w:cs="Calibri"/>
                <w:bCs/>
                <w:sz w:val="20"/>
                <w:szCs w:val="20"/>
                <w:lang w:eastAsia="pl-PL"/>
              </w:rPr>
              <w:t xml:space="preserve"> </w:t>
            </w:r>
            <w:r w:rsidRPr="00AC4CBE">
              <w:rPr>
                <w:rFonts w:cs="Calibri"/>
                <w:bCs/>
                <w:sz w:val="20"/>
                <w:szCs w:val="20"/>
                <w:lang w:eastAsia="pl-PL"/>
              </w:rPr>
              <w:t xml:space="preserve">cele ram wykonania. </w:t>
            </w:r>
          </w:p>
        </w:tc>
      </w:tr>
    </w:tbl>
    <w:p w:rsidR="00AB47C5" w:rsidRDefault="00AB47C5" w:rsidP="00341EDE">
      <w:pPr>
        <w:spacing w:before="120" w:after="120"/>
        <w:contextualSpacing/>
        <w:jc w:val="both"/>
      </w:pPr>
    </w:p>
    <w:p w:rsidR="00CC10A7" w:rsidRPr="00597BF5" w:rsidRDefault="00A7619F" w:rsidP="00597BF5">
      <w:pPr>
        <w:numPr>
          <w:ilvl w:val="0"/>
          <w:numId w:val="12"/>
        </w:numPr>
        <w:spacing w:before="120" w:after="120"/>
        <w:contextualSpacing/>
        <w:jc w:val="both"/>
        <w:rPr>
          <w:rFonts w:cs="Calibri"/>
          <w:sz w:val="20"/>
          <w:szCs w:val="20"/>
        </w:rPr>
      </w:pPr>
      <w:r w:rsidRPr="00597BF5">
        <w:rPr>
          <w:rFonts w:cs="Calibri"/>
          <w:sz w:val="20"/>
          <w:szCs w:val="20"/>
        </w:rPr>
        <w:t>w</w:t>
      </w:r>
      <w:r w:rsidR="00CC10A7" w:rsidRPr="00597BF5">
        <w:rPr>
          <w:rFonts w:cs="Calibri"/>
          <w:sz w:val="20"/>
          <w:szCs w:val="20"/>
        </w:rPr>
        <w:t>yjaśnienie, w jaki sposób zapewniono praktyczne przełożenie ram wykonania na mechanizmy wdrożeniowe danej 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726" w:rsidRPr="009812F7" w:rsidTr="009D0952">
        <w:trPr>
          <w:cantSplit/>
        </w:trPr>
        <w:tc>
          <w:tcPr>
            <w:tcW w:w="9212" w:type="dxa"/>
            <w:shd w:val="clear" w:color="auto" w:fill="auto"/>
          </w:tcPr>
          <w:p w:rsidR="00AB47C5" w:rsidRDefault="00AB47C5" w:rsidP="00BB5A64">
            <w:pPr>
              <w:spacing w:after="0" w:line="240" w:lineRule="auto"/>
              <w:contextualSpacing/>
              <w:jc w:val="both"/>
              <w:rPr>
                <w:rFonts w:cs="Calibri"/>
                <w:bCs/>
                <w:sz w:val="20"/>
                <w:szCs w:val="20"/>
                <w:lang w:eastAsia="pl-PL"/>
              </w:rPr>
            </w:pPr>
            <w:r w:rsidRPr="00AB47C5">
              <w:rPr>
                <w:rFonts w:cs="Calibri"/>
                <w:bCs/>
                <w:sz w:val="20"/>
                <w:szCs w:val="20"/>
                <w:lang w:eastAsia="pl-PL"/>
              </w:rPr>
              <w:t xml:space="preserve">Kryteria wyboru projektów do dofinansowania w ramach </w:t>
            </w:r>
            <w:r w:rsidR="000C62F5">
              <w:rPr>
                <w:rFonts w:cs="Calibri"/>
                <w:bCs/>
                <w:sz w:val="20"/>
                <w:szCs w:val="20"/>
                <w:lang w:eastAsia="pl-PL"/>
              </w:rPr>
              <w:t>II</w:t>
            </w:r>
            <w:r w:rsidR="000C62F5" w:rsidRPr="00AB47C5">
              <w:rPr>
                <w:rFonts w:cs="Calibri"/>
                <w:bCs/>
                <w:sz w:val="20"/>
                <w:szCs w:val="20"/>
                <w:lang w:eastAsia="pl-PL"/>
              </w:rPr>
              <w:t xml:space="preserve"> </w:t>
            </w:r>
            <w:r w:rsidRPr="00AB47C5">
              <w:rPr>
                <w:rFonts w:cs="Calibri"/>
                <w:bCs/>
                <w:sz w:val="20"/>
                <w:szCs w:val="20"/>
                <w:lang w:eastAsia="pl-PL"/>
              </w:rPr>
              <w:t>osi priorytetowej będą premiowały w pierwszej kolejności projekty, w których realizacja inwestycji wskazanych w dokumentacji konkursowej</w:t>
            </w:r>
            <w:r w:rsidR="00D67201">
              <w:rPr>
                <w:rFonts w:cs="Calibri"/>
                <w:bCs/>
                <w:sz w:val="20"/>
                <w:szCs w:val="20"/>
                <w:lang w:eastAsia="pl-PL"/>
              </w:rPr>
              <w:t>,</w:t>
            </w:r>
            <w:r w:rsidRPr="00AB47C5">
              <w:rPr>
                <w:rFonts w:cs="Calibri"/>
                <w:bCs/>
                <w:sz w:val="20"/>
                <w:szCs w:val="20"/>
                <w:lang w:eastAsia="pl-PL"/>
              </w:rPr>
              <w:t xml:space="preserve"> będzie gwarantowała powstanie usług kierowanych do obywateli (A2C) oraz przedsiębiorców (A2B)</w:t>
            </w:r>
            <w:r w:rsidR="00C86612">
              <w:rPr>
                <w:rFonts w:cs="Calibri"/>
                <w:bCs/>
                <w:sz w:val="20"/>
                <w:szCs w:val="20"/>
                <w:lang w:eastAsia="pl-PL"/>
              </w:rPr>
              <w:t>,</w:t>
            </w:r>
            <w:r w:rsidRPr="00AB47C5">
              <w:rPr>
                <w:rFonts w:cs="Calibri"/>
                <w:bCs/>
                <w:sz w:val="20"/>
                <w:szCs w:val="20"/>
                <w:lang w:eastAsia="pl-PL"/>
              </w:rPr>
              <w:t xml:space="preserve"> na 3 i wyższym poziomie dojrzałości. Tym samym każdy z zakwalifikowanych do wsparcia projektów</w:t>
            </w:r>
            <w:r w:rsidR="00220E92">
              <w:rPr>
                <w:rFonts w:cs="Calibri"/>
                <w:bCs/>
                <w:sz w:val="20"/>
                <w:szCs w:val="20"/>
                <w:lang w:eastAsia="pl-PL"/>
              </w:rPr>
              <w:t>,</w:t>
            </w:r>
            <w:r w:rsidRPr="00AB47C5">
              <w:rPr>
                <w:rFonts w:cs="Calibri"/>
                <w:bCs/>
                <w:sz w:val="20"/>
                <w:szCs w:val="20"/>
                <w:lang w:eastAsia="pl-PL"/>
              </w:rPr>
              <w:t xml:space="preserve"> będzie przyczyniał się do realizacji</w:t>
            </w:r>
            <w:r w:rsidR="0030501F">
              <w:rPr>
                <w:rFonts w:cs="Calibri"/>
                <w:bCs/>
                <w:sz w:val="20"/>
                <w:szCs w:val="20"/>
                <w:lang w:eastAsia="pl-PL"/>
              </w:rPr>
              <w:t>,</w:t>
            </w:r>
            <w:r w:rsidRPr="00AB47C5">
              <w:rPr>
                <w:rFonts w:cs="Calibri"/>
                <w:bCs/>
                <w:sz w:val="20"/>
                <w:szCs w:val="20"/>
                <w:lang w:eastAsia="pl-PL"/>
              </w:rPr>
              <w:t xml:space="preserve"> wybranego dla tej osi do ram wykonania</w:t>
            </w:r>
            <w:r w:rsidR="0030501F">
              <w:rPr>
                <w:rFonts w:cs="Calibri"/>
                <w:bCs/>
                <w:sz w:val="20"/>
                <w:szCs w:val="20"/>
                <w:lang w:eastAsia="pl-PL"/>
              </w:rPr>
              <w:t>,</w:t>
            </w:r>
            <w:r w:rsidRPr="00AB47C5">
              <w:rPr>
                <w:rFonts w:cs="Calibri"/>
                <w:bCs/>
                <w:sz w:val="20"/>
                <w:szCs w:val="20"/>
                <w:lang w:eastAsia="pl-PL"/>
              </w:rPr>
              <w:t xml:space="preserve"> wskaźnika produktu.</w:t>
            </w:r>
          </w:p>
          <w:p w:rsidR="00AC3726" w:rsidRDefault="007C331A" w:rsidP="004014F8">
            <w:pPr>
              <w:spacing w:after="0" w:line="240" w:lineRule="auto"/>
              <w:contextualSpacing/>
              <w:jc w:val="both"/>
              <w:rPr>
                <w:rFonts w:cs="Calibri"/>
                <w:bCs/>
                <w:sz w:val="20"/>
                <w:szCs w:val="20"/>
                <w:lang w:eastAsia="pl-PL"/>
              </w:rPr>
            </w:pPr>
            <w:r w:rsidRPr="00AC4CBE">
              <w:rPr>
                <w:rFonts w:cs="Calibri"/>
                <w:bCs/>
                <w:sz w:val="20"/>
                <w:szCs w:val="20"/>
                <w:lang w:eastAsia="pl-PL"/>
              </w:rPr>
              <w:t>Powołując się na wyjaśnienia przedstawione w pkt b</w:t>
            </w:r>
            <w:r w:rsidR="00E5238A">
              <w:rPr>
                <w:rFonts w:cs="Calibri"/>
                <w:bCs/>
                <w:sz w:val="20"/>
                <w:szCs w:val="20"/>
                <w:lang w:eastAsia="pl-PL"/>
              </w:rPr>
              <w:t>.</w:t>
            </w:r>
            <w:r w:rsidRPr="00AC4CBE">
              <w:rPr>
                <w:rFonts w:cs="Calibri"/>
                <w:bCs/>
                <w:sz w:val="20"/>
                <w:szCs w:val="20"/>
                <w:lang w:eastAsia="pl-PL"/>
              </w:rPr>
              <w:t xml:space="preserve">, należy zwrócić uwagę na przedmiotowo skoncentrowaną </w:t>
            </w:r>
            <w:r w:rsidR="0007256F">
              <w:rPr>
                <w:rFonts w:cs="Calibri"/>
                <w:bCs/>
                <w:sz w:val="20"/>
                <w:szCs w:val="20"/>
                <w:lang w:eastAsia="pl-PL"/>
              </w:rPr>
              <w:t>II</w:t>
            </w:r>
            <w:r w:rsidR="0007256F" w:rsidRPr="00AC4CBE">
              <w:rPr>
                <w:rFonts w:cs="Calibri"/>
                <w:bCs/>
                <w:sz w:val="20"/>
                <w:szCs w:val="20"/>
                <w:lang w:eastAsia="pl-PL"/>
              </w:rPr>
              <w:t xml:space="preserve"> </w:t>
            </w:r>
            <w:r w:rsidRPr="00AC4CBE">
              <w:rPr>
                <w:rFonts w:cs="Calibri"/>
                <w:bCs/>
                <w:sz w:val="20"/>
                <w:szCs w:val="20"/>
                <w:lang w:eastAsia="pl-PL"/>
              </w:rPr>
              <w:t xml:space="preserve">oś priorytetową POPC, pn. </w:t>
            </w:r>
            <w:r w:rsidRPr="00AC4CBE">
              <w:rPr>
                <w:rFonts w:cs="Calibri"/>
                <w:bCs/>
                <w:i/>
                <w:sz w:val="20"/>
                <w:szCs w:val="20"/>
                <w:lang w:eastAsia="pl-PL"/>
              </w:rPr>
              <w:t>E-administracja, otwarty rząd</w:t>
            </w:r>
            <w:r w:rsidRPr="00AC4CBE">
              <w:rPr>
                <w:rFonts w:cs="Calibri"/>
                <w:bCs/>
                <w:sz w:val="20"/>
                <w:szCs w:val="20"/>
                <w:lang w:eastAsia="pl-PL"/>
              </w:rPr>
              <w:t>. Wsparcie dotyczy trzech obszarów</w:t>
            </w:r>
            <w:r w:rsidR="009E7F38">
              <w:rPr>
                <w:rFonts w:cs="Calibri"/>
                <w:bCs/>
                <w:sz w:val="20"/>
                <w:szCs w:val="20"/>
                <w:lang w:eastAsia="pl-PL"/>
              </w:rPr>
              <w:t>:</w:t>
            </w:r>
            <w:r w:rsidR="009E7F38" w:rsidRPr="00AC4CBE">
              <w:rPr>
                <w:rFonts w:cs="Calibri"/>
                <w:bCs/>
                <w:sz w:val="20"/>
                <w:szCs w:val="20"/>
                <w:lang w:eastAsia="pl-PL"/>
              </w:rPr>
              <w:t xml:space="preserve"> </w:t>
            </w:r>
            <w:r w:rsidRPr="00AC4CBE">
              <w:rPr>
                <w:rFonts w:cs="Calibri"/>
                <w:bCs/>
                <w:sz w:val="20"/>
                <w:szCs w:val="20"/>
                <w:lang w:eastAsia="pl-PL"/>
              </w:rPr>
              <w:t xml:space="preserve">e-usługi publiczne, </w:t>
            </w:r>
            <w:r w:rsidR="0030501F">
              <w:rPr>
                <w:rFonts w:cs="Calibri"/>
                <w:bCs/>
                <w:sz w:val="20"/>
                <w:szCs w:val="20"/>
                <w:lang w:eastAsia="pl-PL"/>
              </w:rPr>
              <w:t>cyfryzac</w:t>
            </w:r>
            <w:r w:rsidRPr="00AC4CBE">
              <w:rPr>
                <w:rFonts w:cs="Calibri"/>
                <w:bCs/>
                <w:sz w:val="20"/>
                <w:szCs w:val="20"/>
                <w:lang w:eastAsia="pl-PL"/>
              </w:rPr>
              <w:t xml:space="preserve">ja administracji oraz </w:t>
            </w:r>
            <w:r w:rsidR="00873652">
              <w:rPr>
                <w:rFonts w:cs="Calibri"/>
                <w:bCs/>
                <w:sz w:val="20"/>
                <w:szCs w:val="20"/>
                <w:lang w:eastAsia="pl-PL"/>
              </w:rPr>
              <w:t>udostępnienie</w:t>
            </w:r>
            <w:r w:rsidR="00873652" w:rsidRPr="00AC4CBE">
              <w:rPr>
                <w:rFonts w:cs="Calibri"/>
                <w:bCs/>
                <w:sz w:val="20"/>
                <w:szCs w:val="20"/>
                <w:lang w:eastAsia="pl-PL"/>
              </w:rPr>
              <w:t xml:space="preserve"> </w:t>
            </w:r>
            <w:r w:rsidRPr="00AC4CBE">
              <w:rPr>
                <w:rFonts w:cs="Calibri"/>
                <w:bCs/>
                <w:sz w:val="20"/>
                <w:szCs w:val="20"/>
                <w:lang w:eastAsia="pl-PL"/>
              </w:rPr>
              <w:t xml:space="preserve">zasobów publicznych, spośród których </w:t>
            </w:r>
            <w:r w:rsidR="0030501F">
              <w:rPr>
                <w:rFonts w:cs="Calibri"/>
                <w:bCs/>
                <w:sz w:val="20"/>
                <w:szCs w:val="20"/>
                <w:lang w:eastAsia="pl-PL"/>
              </w:rPr>
              <w:t>właśnie e-</w:t>
            </w:r>
            <w:r w:rsidRPr="00AC4CBE">
              <w:rPr>
                <w:rFonts w:cs="Calibri"/>
                <w:bCs/>
                <w:sz w:val="20"/>
                <w:szCs w:val="20"/>
                <w:lang w:eastAsia="pl-PL"/>
              </w:rPr>
              <w:t xml:space="preserve">usługi będą mieć największy wymiar (również finansowy). Wskazane kierunki będą się przenikać, zarówno w ramach ogólnej komplementarności projektów, jak również dzięki </w:t>
            </w:r>
            <w:r w:rsidR="009E7F38">
              <w:rPr>
                <w:rFonts w:cs="Calibri"/>
                <w:bCs/>
                <w:sz w:val="20"/>
                <w:szCs w:val="20"/>
                <w:lang w:eastAsia="pl-PL"/>
              </w:rPr>
              <w:t xml:space="preserve">możliwości </w:t>
            </w:r>
            <w:r w:rsidR="009E7F38" w:rsidRPr="00AC4CBE">
              <w:rPr>
                <w:rFonts w:cs="Calibri"/>
                <w:bCs/>
                <w:sz w:val="20"/>
                <w:szCs w:val="20"/>
                <w:lang w:eastAsia="pl-PL"/>
              </w:rPr>
              <w:t>kompleksowe</w:t>
            </w:r>
            <w:r w:rsidR="009E7F38">
              <w:rPr>
                <w:rFonts w:cs="Calibri"/>
                <w:bCs/>
                <w:sz w:val="20"/>
                <w:szCs w:val="20"/>
                <w:lang w:eastAsia="pl-PL"/>
              </w:rPr>
              <w:t>go</w:t>
            </w:r>
            <w:r w:rsidR="009E7F38" w:rsidRPr="00AC4CBE">
              <w:rPr>
                <w:rFonts w:cs="Calibri"/>
                <w:bCs/>
                <w:sz w:val="20"/>
                <w:szCs w:val="20"/>
                <w:lang w:eastAsia="pl-PL"/>
              </w:rPr>
              <w:t xml:space="preserve"> zaprojektowani</w:t>
            </w:r>
            <w:r w:rsidR="009E7F38">
              <w:rPr>
                <w:rFonts w:cs="Calibri"/>
                <w:bCs/>
                <w:sz w:val="20"/>
                <w:szCs w:val="20"/>
                <w:lang w:eastAsia="pl-PL"/>
              </w:rPr>
              <w:t>a</w:t>
            </w:r>
            <w:r w:rsidR="009E7F38" w:rsidRPr="00AC4CBE">
              <w:rPr>
                <w:rFonts w:cs="Calibri"/>
                <w:bCs/>
                <w:sz w:val="20"/>
                <w:szCs w:val="20"/>
                <w:lang w:eastAsia="pl-PL"/>
              </w:rPr>
              <w:t xml:space="preserve"> </w:t>
            </w:r>
            <w:r w:rsidRPr="00AC4CBE">
              <w:rPr>
                <w:rFonts w:cs="Calibri"/>
                <w:bCs/>
                <w:sz w:val="20"/>
                <w:szCs w:val="20"/>
                <w:lang w:eastAsia="pl-PL"/>
              </w:rPr>
              <w:t>poszczególnych inwestycji. Przełoży się to pozytywnie na aspekt monitor</w:t>
            </w:r>
            <w:r w:rsidR="00935309">
              <w:rPr>
                <w:rFonts w:cs="Calibri"/>
                <w:bCs/>
                <w:sz w:val="20"/>
                <w:szCs w:val="20"/>
                <w:lang w:eastAsia="pl-PL"/>
              </w:rPr>
              <w:t xml:space="preserve">ingu – również ram wykonania – </w:t>
            </w:r>
            <w:r w:rsidRPr="00AC4CBE">
              <w:rPr>
                <w:rFonts w:cs="Calibri"/>
                <w:bCs/>
                <w:sz w:val="20"/>
                <w:szCs w:val="20"/>
                <w:lang w:eastAsia="pl-PL"/>
              </w:rPr>
              <w:t xml:space="preserve">gdzie </w:t>
            </w:r>
            <w:r w:rsidR="009E7F38" w:rsidRPr="00AC4CBE">
              <w:rPr>
                <w:rFonts w:cs="Calibri"/>
                <w:bCs/>
                <w:sz w:val="20"/>
                <w:szCs w:val="20"/>
                <w:lang w:eastAsia="pl-PL"/>
              </w:rPr>
              <w:t>osiąg</w:t>
            </w:r>
            <w:r w:rsidR="009E7F38">
              <w:rPr>
                <w:rFonts w:cs="Calibri"/>
                <w:bCs/>
                <w:sz w:val="20"/>
                <w:szCs w:val="20"/>
                <w:lang w:eastAsia="pl-PL"/>
              </w:rPr>
              <w:t>nięte</w:t>
            </w:r>
            <w:r w:rsidR="009E7F38" w:rsidRPr="00AC4CBE">
              <w:rPr>
                <w:rFonts w:cs="Calibri"/>
                <w:bCs/>
                <w:sz w:val="20"/>
                <w:szCs w:val="20"/>
                <w:lang w:eastAsia="pl-PL"/>
              </w:rPr>
              <w:t xml:space="preserve"> </w:t>
            </w:r>
            <w:r w:rsidRPr="00AC4CBE">
              <w:rPr>
                <w:rFonts w:cs="Calibri"/>
                <w:bCs/>
                <w:sz w:val="20"/>
                <w:szCs w:val="20"/>
                <w:lang w:eastAsia="pl-PL"/>
              </w:rPr>
              <w:t xml:space="preserve">efekty </w:t>
            </w:r>
            <w:r w:rsidR="009E7F38">
              <w:rPr>
                <w:rFonts w:cs="Calibri"/>
                <w:bCs/>
                <w:sz w:val="20"/>
                <w:szCs w:val="20"/>
                <w:lang w:eastAsia="pl-PL"/>
              </w:rPr>
              <w:t xml:space="preserve">(e-usługi publiczne) </w:t>
            </w:r>
            <w:r w:rsidRPr="00AC4CBE">
              <w:rPr>
                <w:rFonts w:cs="Calibri"/>
                <w:bCs/>
                <w:sz w:val="20"/>
                <w:szCs w:val="20"/>
                <w:lang w:eastAsia="pl-PL"/>
              </w:rPr>
              <w:t>będą</w:t>
            </w:r>
            <w:r w:rsidR="009E7F38">
              <w:rPr>
                <w:rFonts w:cs="Calibri"/>
                <w:bCs/>
                <w:sz w:val="20"/>
                <w:szCs w:val="20"/>
                <w:lang w:eastAsia="pl-PL"/>
              </w:rPr>
              <w:t xml:space="preserve"> mogły</w:t>
            </w:r>
            <w:r w:rsidRPr="00AC4CBE">
              <w:rPr>
                <w:rFonts w:cs="Calibri"/>
                <w:bCs/>
                <w:sz w:val="20"/>
                <w:szCs w:val="20"/>
                <w:lang w:eastAsia="pl-PL"/>
              </w:rPr>
              <w:t xml:space="preserve"> kreować nowe pomysły inwestycyjne, </w:t>
            </w:r>
            <w:r w:rsidR="009E7F38">
              <w:rPr>
                <w:rFonts w:cs="Calibri"/>
                <w:bCs/>
                <w:sz w:val="20"/>
                <w:szCs w:val="20"/>
                <w:lang w:eastAsia="pl-PL"/>
              </w:rPr>
              <w:t>również spośród pozostałych celów szczegółowych 2 osi</w:t>
            </w:r>
            <w:r w:rsidRPr="00AC4CBE">
              <w:rPr>
                <w:rFonts w:cs="Calibri"/>
                <w:bCs/>
                <w:sz w:val="20"/>
                <w:szCs w:val="20"/>
                <w:lang w:eastAsia="pl-PL"/>
              </w:rPr>
              <w:t xml:space="preserve">. W przypadku </w:t>
            </w:r>
            <w:r w:rsidR="000C258D">
              <w:rPr>
                <w:rFonts w:cs="Calibri"/>
                <w:bCs/>
                <w:sz w:val="20"/>
                <w:szCs w:val="20"/>
                <w:lang w:eastAsia="pl-PL"/>
              </w:rPr>
              <w:t xml:space="preserve">realizacji </w:t>
            </w:r>
            <w:r w:rsidRPr="00AC4CBE">
              <w:rPr>
                <w:rFonts w:cs="Calibri"/>
                <w:bCs/>
                <w:sz w:val="20"/>
                <w:szCs w:val="20"/>
                <w:lang w:eastAsia="pl-PL"/>
              </w:rPr>
              <w:t xml:space="preserve">celów pośrednich </w:t>
            </w:r>
            <w:r w:rsidR="009E7F38">
              <w:rPr>
                <w:rFonts w:cs="Calibri"/>
                <w:bCs/>
                <w:sz w:val="20"/>
                <w:szCs w:val="20"/>
                <w:lang w:eastAsia="pl-PL"/>
              </w:rPr>
              <w:t xml:space="preserve">ram wykonania </w:t>
            </w:r>
            <w:r w:rsidRPr="00AC4CBE">
              <w:rPr>
                <w:rFonts w:cs="Calibri"/>
                <w:bCs/>
                <w:sz w:val="20"/>
                <w:szCs w:val="20"/>
                <w:lang w:eastAsia="pl-PL"/>
              </w:rPr>
              <w:t xml:space="preserve">(zakładany poziom płatności 2 osi oraz </w:t>
            </w:r>
            <w:r w:rsidR="00C86612">
              <w:rPr>
                <w:rFonts w:cs="Calibri"/>
                <w:bCs/>
                <w:sz w:val="20"/>
                <w:szCs w:val="20"/>
                <w:lang w:eastAsia="pl-PL"/>
              </w:rPr>
              <w:t>udostępnione e-usługi w ramach zakontraktowanych</w:t>
            </w:r>
            <w:r w:rsidRPr="00AC4CBE">
              <w:rPr>
                <w:rFonts w:cs="Calibri"/>
                <w:bCs/>
                <w:sz w:val="20"/>
                <w:szCs w:val="20"/>
                <w:lang w:eastAsia="pl-PL"/>
              </w:rPr>
              <w:t xml:space="preserve"> projektów 2 celu szczegółowego) istotne znaczenie</w:t>
            </w:r>
            <w:r w:rsidR="0030501F">
              <w:rPr>
                <w:rFonts w:cs="Calibri"/>
                <w:bCs/>
                <w:sz w:val="20"/>
                <w:szCs w:val="20"/>
                <w:lang w:eastAsia="pl-PL"/>
              </w:rPr>
              <w:t>,</w:t>
            </w:r>
            <w:r w:rsidR="00E85D38">
              <w:rPr>
                <w:rFonts w:cs="Calibri"/>
                <w:bCs/>
                <w:sz w:val="20"/>
                <w:szCs w:val="20"/>
                <w:lang w:eastAsia="pl-PL"/>
              </w:rPr>
              <w:t xml:space="preserve"> </w:t>
            </w:r>
            <w:r w:rsidRPr="00AC4CBE">
              <w:rPr>
                <w:rFonts w:cs="Calibri"/>
                <w:bCs/>
                <w:sz w:val="20"/>
                <w:szCs w:val="20"/>
                <w:lang w:eastAsia="pl-PL"/>
              </w:rPr>
              <w:t>ponadto co zostało wskazane</w:t>
            </w:r>
            <w:r w:rsidR="0030501F">
              <w:rPr>
                <w:rFonts w:cs="Calibri"/>
                <w:bCs/>
                <w:sz w:val="20"/>
                <w:szCs w:val="20"/>
                <w:lang w:eastAsia="pl-PL"/>
              </w:rPr>
              <w:t>,</w:t>
            </w:r>
            <w:r w:rsidRPr="00AC4CBE">
              <w:rPr>
                <w:rFonts w:cs="Calibri"/>
                <w:bCs/>
                <w:sz w:val="20"/>
                <w:szCs w:val="20"/>
                <w:lang w:eastAsia="pl-PL"/>
              </w:rPr>
              <w:t xml:space="preserve"> będzie miał system zarządzania. Zdolność instytucjonalną tworzyć będzie grono doświadczanych urzędników, a podejmowane przez nich działania systemowo-prawne, będą spójne dla całego Programu, uwzględniając w nim mechanizm ram wykonania. </w:t>
            </w:r>
          </w:p>
          <w:p w:rsidR="00B4141A" w:rsidRPr="00CF6951" w:rsidRDefault="00B4141A" w:rsidP="00B4141A">
            <w:pPr>
              <w:spacing w:after="0" w:line="240" w:lineRule="auto"/>
              <w:contextualSpacing/>
              <w:jc w:val="both"/>
              <w:rPr>
                <w:rFonts w:cs="Calibri"/>
                <w:b/>
                <w:bCs/>
                <w:sz w:val="20"/>
                <w:szCs w:val="20"/>
                <w:lang w:eastAsia="pl-PL"/>
              </w:rPr>
            </w:pPr>
            <w:r w:rsidRPr="00CF6951">
              <w:rPr>
                <w:rFonts w:cs="Calibri"/>
                <w:b/>
                <w:bCs/>
                <w:sz w:val="20"/>
                <w:szCs w:val="20"/>
                <w:lang w:eastAsia="pl-PL"/>
              </w:rPr>
              <w:t>Wartość docelowa po przeglądzie śródokresowym.</w:t>
            </w:r>
          </w:p>
          <w:p w:rsidR="00B4141A" w:rsidRDefault="00B4141A" w:rsidP="00B4141A">
            <w:pPr>
              <w:spacing w:after="0" w:line="240" w:lineRule="auto"/>
              <w:contextualSpacing/>
              <w:jc w:val="both"/>
              <w:rPr>
                <w:rFonts w:cs="Calibri"/>
                <w:bCs/>
                <w:sz w:val="20"/>
                <w:szCs w:val="20"/>
                <w:lang w:eastAsia="pl-PL"/>
              </w:rPr>
            </w:pPr>
            <w:r w:rsidRPr="00CF6951">
              <w:rPr>
                <w:rFonts w:cs="Calibri"/>
                <w:bCs/>
                <w:sz w:val="20"/>
                <w:szCs w:val="20"/>
                <w:lang w:eastAsia="pl-PL"/>
              </w:rPr>
              <w:t>Po przeglądzie śródokresowym, w oparciu o dane wg stanu na 2020 r.</w:t>
            </w:r>
            <w:r>
              <w:rPr>
                <w:rFonts w:cs="Calibri"/>
                <w:bCs/>
                <w:sz w:val="20"/>
                <w:szCs w:val="20"/>
                <w:lang w:eastAsia="pl-PL"/>
              </w:rPr>
              <w:t>,</w:t>
            </w:r>
            <w:r w:rsidRPr="00CF6951">
              <w:rPr>
                <w:rFonts w:cs="Calibri"/>
                <w:bCs/>
                <w:sz w:val="20"/>
                <w:szCs w:val="20"/>
                <w:lang w:eastAsia="pl-PL"/>
              </w:rPr>
              <w:t xml:space="preserve"> nie zmieniono wartości docelowej na 2023</w:t>
            </w:r>
            <w:r>
              <w:rPr>
                <w:rFonts w:cs="Calibri"/>
                <w:bCs/>
                <w:sz w:val="20"/>
                <w:szCs w:val="20"/>
                <w:lang w:eastAsia="pl-PL"/>
              </w:rPr>
              <w:t xml:space="preserve"> r</w:t>
            </w:r>
            <w:r w:rsidRPr="00CF6951">
              <w:rPr>
                <w:rFonts w:cs="Calibri"/>
                <w:bCs/>
                <w:sz w:val="20"/>
                <w:szCs w:val="20"/>
                <w:lang w:eastAsia="pl-PL"/>
              </w:rPr>
              <w:t>.</w:t>
            </w:r>
          </w:p>
          <w:p w:rsidR="00B4141A" w:rsidRDefault="00B4141A" w:rsidP="00B4141A">
            <w:pPr>
              <w:spacing w:after="0" w:line="240" w:lineRule="auto"/>
              <w:contextualSpacing/>
              <w:jc w:val="both"/>
              <w:rPr>
                <w:rFonts w:cs="Calibri"/>
                <w:bCs/>
                <w:sz w:val="20"/>
                <w:szCs w:val="20"/>
                <w:lang w:eastAsia="pl-PL"/>
              </w:rPr>
            </w:pPr>
            <w:r>
              <w:rPr>
                <w:rFonts w:cs="Calibri"/>
                <w:bCs/>
                <w:sz w:val="20"/>
                <w:szCs w:val="20"/>
                <w:lang w:eastAsia="pl-PL"/>
              </w:rPr>
              <w:t>W wyniku przeglądu śródokresowego, alokacja 2 osi priorytetowej została zmniejszona. Jednocześnie, należy podkreślić, że umowy, które dotychczas zawarto, zapewniły większą liczbę e-usług, niż początkowo zakładano. M</w:t>
            </w:r>
            <w:r w:rsidRPr="00CF6951">
              <w:rPr>
                <w:rFonts w:cs="Calibri"/>
                <w:bCs/>
                <w:sz w:val="20"/>
                <w:szCs w:val="20"/>
                <w:lang w:eastAsia="pl-PL"/>
              </w:rPr>
              <w:t xml:space="preserve">imo, że </w:t>
            </w:r>
            <w:r>
              <w:rPr>
                <w:rFonts w:cs="Calibri"/>
                <w:bCs/>
                <w:sz w:val="20"/>
                <w:szCs w:val="20"/>
                <w:lang w:eastAsia="pl-PL"/>
              </w:rPr>
              <w:t xml:space="preserve">obecnie </w:t>
            </w:r>
            <w:r w:rsidRPr="00CF6951">
              <w:rPr>
                <w:rFonts w:cs="Calibri"/>
                <w:bCs/>
                <w:sz w:val="20"/>
                <w:szCs w:val="20"/>
                <w:lang w:eastAsia="pl-PL"/>
              </w:rPr>
              <w:t xml:space="preserve">wartość wskaźnika jest zbliżona do </w:t>
            </w:r>
            <w:r>
              <w:rPr>
                <w:rFonts w:cs="Calibri"/>
                <w:bCs/>
                <w:sz w:val="20"/>
                <w:szCs w:val="20"/>
                <w:lang w:eastAsia="pl-PL"/>
              </w:rPr>
              <w:t xml:space="preserve">wartości </w:t>
            </w:r>
            <w:r w:rsidRPr="00CF6951">
              <w:rPr>
                <w:rFonts w:cs="Calibri"/>
                <w:bCs/>
                <w:sz w:val="20"/>
                <w:szCs w:val="20"/>
                <w:lang w:eastAsia="pl-PL"/>
              </w:rPr>
              <w:t xml:space="preserve">docelowej , nie </w:t>
            </w:r>
            <w:r>
              <w:rPr>
                <w:rFonts w:cs="Calibri"/>
                <w:bCs/>
                <w:sz w:val="20"/>
                <w:szCs w:val="20"/>
                <w:lang w:eastAsia="pl-PL"/>
              </w:rPr>
              <w:t>podjęto decyzji o aktualizacji jego wartości</w:t>
            </w:r>
            <w:r w:rsidRPr="00CF6951">
              <w:rPr>
                <w:rFonts w:cs="Calibri"/>
                <w:bCs/>
                <w:sz w:val="20"/>
                <w:szCs w:val="20"/>
                <w:lang w:eastAsia="pl-PL"/>
              </w:rPr>
              <w:t xml:space="preserve">. </w:t>
            </w:r>
          </w:p>
          <w:p w:rsidR="00B4141A" w:rsidRDefault="00B4141A" w:rsidP="00B4141A">
            <w:pPr>
              <w:spacing w:after="0" w:line="240" w:lineRule="auto"/>
              <w:contextualSpacing/>
              <w:jc w:val="both"/>
              <w:rPr>
                <w:rFonts w:cs="Calibri"/>
                <w:bCs/>
                <w:sz w:val="20"/>
                <w:szCs w:val="20"/>
                <w:lang w:eastAsia="pl-PL"/>
              </w:rPr>
            </w:pPr>
            <w:r w:rsidRPr="00CF6951">
              <w:rPr>
                <w:rFonts w:cs="Calibri"/>
                <w:bCs/>
                <w:sz w:val="20"/>
                <w:szCs w:val="20"/>
                <w:lang w:eastAsia="pl-PL"/>
              </w:rPr>
              <w:t xml:space="preserve">Wynika to z faktu, że istnieje pewne ryzyko związane z rozwiązywaniem umów, co skutkować będzie mniejszą liczbą e-usług niż obecnie. </w:t>
            </w:r>
            <w:r>
              <w:rPr>
                <w:rFonts w:cs="Calibri"/>
                <w:bCs/>
                <w:sz w:val="20"/>
                <w:szCs w:val="20"/>
                <w:lang w:eastAsia="pl-PL"/>
              </w:rPr>
              <w:t xml:space="preserve">Projekty w 2 osi są z reguły złożone, długotrwałe i obarczone ryzykiem ich niezrealizowania, zwłaszcza w utrudnionych warunkach ekonomicznych. </w:t>
            </w:r>
          </w:p>
          <w:p w:rsidR="00B4141A" w:rsidRPr="00AC4CBE" w:rsidRDefault="00B4141A" w:rsidP="00B4141A">
            <w:pPr>
              <w:spacing w:after="0" w:line="240" w:lineRule="auto"/>
              <w:contextualSpacing/>
              <w:jc w:val="both"/>
              <w:rPr>
                <w:rFonts w:cs="Calibri"/>
                <w:bCs/>
                <w:sz w:val="20"/>
                <w:szCs w:val="20"/>
                <w:lang w:eastAsia="pl-PL"/>
              </w:rPr>
            </w:pPr>
            <w:r w:rsidRPr="00CF6951">
              <w:rPr>
                <w:rFonts w:cs="Calibri"/>
                <w:bCs/>
                <w:sz w:val="20"/>
                <w:szCs w:val="20"/>
                <w:lang w:eastAsia="pl-PL"/>
              </w:rPr>
              <w:t>Dodatkowo w 2 osi</w:t>
            </w:r>
            <w:r>
              <w:rPr>
                <w:rFonts w:cs="Calibri"/>
                <w:bCs/>
                <w:sz w:val="20"/>
                <w:szCs w:val="20"/>
                <w:lang w:eastAsia="pl-PL"/>
              </w:rPr>
              <w:t>,</w:t>
            </w:r>
            <w:r w:rsidRPr="00CF6951">
              <w:rPr>
                <w:rFonts w:cs="Calibri"/>
                <w:bCs/>
                <w:sz w:val="20"/>
                <w:szCs w:val="20"/>
                <w:lang w:eastAsia="pl-PL"/>
              </w:rPr>
              <w:t xml:space="preserve"> </w:t>
            </w:r>
            <w:r>
              <w:rPr>
                <w:rFonts w:cs="Calibri"/>
                <w:bCs/>
                <w:sz w:val="20"/>
                <w:szCs w:val="20"/>
                <w:lang w:eastAsia="pl-PL"/>
              </w:rPr>
              <w:t xml:space="preserve">szacowane </w:t>
            </w:r>
            <w:r w:rsidRPr="00CF6951">
              <w:rPr>
                <w:rFonts w:cs="Calibri"/>
                <w:bCs/>
                <w:sz w:val="20"/>
                <w:szCs w:val="20"/>
                <w:lang w:eastAsia="pl-PL"/>
              </w:rPr>
              <w:t>oszczędności wynikające z</w:t>
            </w:r>
            <w:r>
              <w:rPr>
                <w:rFonts w:cs="Calibri"/>
                <w:bCs/>
                <w:sz w:val="20"/>
                <w:szCs w:val="20"/>
                <w:lang w:eastAsia="pl-PL"/>
              </w:rPr>
              <w:t xml:space="preserve"> </w:t>
            </w:r>
            <w:r w:rsidRPr="00CF6951">
              <w:rPr>
                <w:rFonts w:cs="Calibri"/>
                <w:bCs/>
                <w:sz w:val="20"/>
                <w:szCs w:val="20"/>
                <w:lang w:eastAsia="pl-PL"/>
              </w:rPr>
              <w:t>rozwiązanych umów, są największe</w:t>
            </w:r>
            <w:r>
              <w:rPr>
                <w:rFonts w:cs="Calibri"/>
                <w:bCs/>
                <w:sz w:val="20"/>
                <w:szCs w:val="20"/>
                <w:lang w:eastAsia="pl-PL"/>
              </w:rPr>
              <w:t xml:space="preserve"> w odniesieniu do pozostałych osi</w:t>
            </w:r>
            <w:r w:rsidRPr="00CF6951">
              <w:rPr>
                <w:rFonts w:cs="Calibri"/>
                <w:bCs/>
                <w:sz w:val="20"/>
                <w:szCs w:val="20"/>
                <w:lang w:eastAsia="pl-PL"/>
              </w:rPr>
              <w:t>.</w:t>
            </w:r>
            <w:r>
              <w:rPr>
                <w:rFonts w:cs="Calibri"/>
                <w:bCs/>
                <w:sz w:val="20"/>
                <w:szCs w:val="20"/>
                <w:lang w:eastAsia="pl-PL"/>
              </w:rPr>
              <w:t xml:space="preserve"> </w:t>
            </w:r>
          </w:p>
        </w:tc>
      </w:tr>
    </w:tbl>
    <w:p w:rsidR="00CC10A7" w:rsidRDefault="00CC10A7" w:rsidP="00A7619F">
      <w:pPr>
        <w:spacing w:before="120" w:after="120"/>
        <w:contextualSpacing/>
        <w:jc w:val="both"/>
      </w:pPr>
    </w:p>
    <w:p w:rsidR="005B3D37" w:rsidRPr="00840299" w:rsidRDefault="002D4DA1" w:rsidP="00840299">
      <w:pPr>
        <w:numPr>
          <w:ilvl w:val="0"/>
          <w:numId w:val="12"/>
        </w:numPr>
        <w:spacing w:before="120" w:after="120"/>
        <w:contextualSpacing/>
        <w:jc w:val="both"/>
        <w:rPr>
          <w:rFonts w:cs="Calibri"/>
          <w:sz w:val="20"/>
          <w:szCs w:val="20"/>
        </w:rPr>
      </w:pPr>
      <w:r w:rsidRPr="00840299">
        <w:rPr>
          <w:rFonts w:cs="Calibri"/>
          <w:sz w:val="20"/>
          <w:szCs w:val="20"/>
        </w:rPr>
        <w:lastRenderedPageBreak/>
        <w:t>na podstawie doświadczeń z poprzednich okresów programowania należy wskazać, jakie czynniki mogą mieć wpływ na metodykę szacowanie wartości pośrednich i końcowych. Zgodnie z art. 5 ust 6 rozporządzenia wykonawczego KE nr 215/2014, jeżeli w trakcie wdrażania te czynniki ujawnią się i ich oddziaływanie będzie na tyle istotne, że konieczne stanie się odpowiednie dostosowanie metod szacowania oraz wartości celów pośrednich i końcowych, wówczas instytucja zarządzająca może uznać to za należycie uzasadniony przypadek w rozumieniu pkt 5 załącznika II do rozporządzenia (UE) nr 1303/2013 i przedstawić wniosek o zmianę programu operacyjnego zgodnie ze zwykłą procedurą zmiany programu operacyjnego: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726" w:rsidRPr="009812F7" w:rsidTr="00F8055F">
        <w:tc>
          <w:tcPr>
            <w:tcW w:w="9212" w:type="dxa"/>
            <w:shd w:val="clear" w:color="auto" w:fill="auto"/>
          </w:tcPr>
          <w:p w:rsidR="00FB67BA" w:rsidRPr="00FB67BA" w:rsidRDefault="00FB67BA" w:rsidP="00BB5A64">
            <w:pPr>
              <w:autoSpaceDE w:val="0"/>
              <w:autoSpaceDN w:val="0"/>
              <w:adjustRightInd w:val="0"/>
              <w:spacing w:after="120" w:line="240" w:lineRule="auto"/>
              <w:jc w:val="both"/>
              <w:rPr>
                <w:sz w:val="20"/>
                <w:szCs w:val="16"/>
              </w:rPr>
            </w:pPr>
            <w:r w:rsidRPr="00FB67BA">
              <w:rPr>
                <w:sz w:val="20"/>
                <w:szCs w:val="16"/>
              </w:rPr>
              <w:t>Oprócz wskazania problematycznych sytuacji z przeszłości, o którym mowa była wcześniej</w:t>
            </w:r>
            <w:r w:rsidR="00E11C65">
              <w:rPr>
                <w:sz w:val="20"/>
                <w:szCs w:val="16"/>
              </w:rPr>
              <w:t>,</w:t>
            </w:r>
            <w:r w:rsidR="00554B27">
              <w:rPr>
                <w:sz w:val="20"/>
                <w:szCs w:val="16"/>
              </w:rPr>
              <w:t xml:space="preserve"> </w:t>
            </w:r>
            <w:r w:rsidRPr="00FB67BA">
              <w:rPr>
                <w:sz w:val="20"/>
                <w:szCs w:val="16"/>
              </w:rPr>
              <w:t>warto w tym miejscu poruszyć również kwestie, które zaistniały podczas procedury preselekcji wyboru projektów, jako podstawowego narzędzia w oparciu</w:t>
            </w:r>
            <w:r w:rsidR="00554B27">
              <w:rPr>
                <w:sz w:val="20"/>
                <w:szCs w:val="16"/>
              </w:rPr>
              <w:t>,</w:t>
            </w:r>
            <w:r w:rsidRPr="00FB67BA">
              <w:rPr>
                <w:sz w:val="20"/>
                <w:szCs w:val="16"/>
              </w:rPr>
              <w:t xml:space="preserve"> o które oszacowano cel wskaźnika produktu ram wykonania. </w:t>
            </w:r>
            <w:r w:rsidR="00E11C65">
              <w:rPr>
                <w:sz w:val="20"/>
                <w:szCs w:val="16"/>
              </w:rPr>
              <w:t>Przede wszystkim</w:t>
            </w:r>
            <w:r w:rsidRPr="00FB67BA">
              <w:rPr>
                <w:sz w:val="20"/>
                <w:szCs w:val="16"/>
              </w:rPr>
              <w:t xml:space="preserve"> należy wziąć pod uwagę, iż preselekcja stanowiła </w:t>
            </w:r>
            <w:r w:rsidR="00E11C65">
              <w:rPr>
                <w:sz w:val="20"/>
                <w:szCs w:val="16"/>
              </w:rPr>
              <w:t xml:space="preserve">jedynie </w:t>
            </w:r>
            <w:r w:rsidRPr="00FB67BA">
              <w:rPr>
                <w:sz w:val="20"/>
                <w:szCs w:val="16"/>
              </w:rPr>
              <w:t>symulację procedury konkursowej. Potencjalni beneficjenci zostali poinformowani, że uzyskane przez nich oceny projektów, nie kształtują w żaden sposób ich dalszej pozycji w ramach POPC, a stanowią jedynie płaszczyznę wymiany informacji. Istotnym ryzykiem może być, zatem sytuacja, w której właściwa lista rankingowa tylko częściowo pokryje się z projektami pochodzącymi z preselekcji. Należy wówczas się spodziewać widocznych zmian w wartości wskaźnika dotyczącego tworzenia e-usług publicznych, ponieważ już teraz wiadomo, że ich liczba różni się zasadniczo pomiędzy projektami. Inną wątpliwość, na którą zwrócono również uwagę, to sytuacja, w której trudno jest na wstępie ustalić ostateczną wartość wskaźnika</w:t>
            </w:r>
            <w:r w:rsidR="00E11C65">
              <w:rPr>
                <w:sz w:val="20"/>
                <w:szCs w:val="16"/>
              </w:rPr>
              <w:t xml:space="preserve"> dla danego projektu</w:t>
            </w:r>
            <w:r w:rsidRPr="00FB67BA">
              <w:rPr>
                <w:sz w:val="20"/>
                <w:szCs w:val="16"/>
              </w:rPr>
              <w:t xml:space="preserve">. </w:t>
            </w:r>
          </w:p>
          <w:p w:rsidR="00FB67BA" w:rsidRDefault="00FB67BA" w:rsidP="00BB5A64">
            <w:pPr>
              <w:autoSpaceDE w:val="0"/>
              <w:autoSpaceDN w:val="0"/>
              <w:adjustRightInd w:val="0"/>
              <w:spacing w:after="120" w:line="240" w:lineRule="auto"/>
              <w:jc w:val="both"/>
              <w:rPr>
                <w:sz w:val="20"/>
                <w:szCs w:val="16"/>
              </w:rPr>
            </w:pPr>
            <w:r w:rsidRPr="00FB67BA">
              <w:rPr>
                <w:sz w:val="20"/>
                <w:szCs w:val="16"/>
              </w:rPr>
              <w:t xml:space="preserve">Często inwestycje projektowane są w oparciu o dosyć ogólny obszar funkcjonowania administracji państwa, w którym wyszczególniono najważniejsze zadania. Dopiero podczas realizacji projektu może się okazać, że istnieje realna potrzeba tworzenia kolejnych usług, które dodatkowo wzmocnią pozytywne oddziaływanie projektu (np. wskutek uzyskanych oszczędności lub mając na względzie efekty skali w stosunku do potencjalnych korzyści). Kolejnym ważnym ryzkiem, tym razem mającym istotny wpływ na realizację kluczowego etapu wdrażania, będą </w:t>
            </w:r>
            <w:r w:rsidR="003F2B24">
              <w:rPr>
                <w:sz w:val="20"/>
                <w:szCs w:val="16"/>
              </w:rPr>
              <w:t xml:space="preserve">warunki </w:t>
            </w:r>
            <w:r w:rsidR="00E11C65">
              <w:rPr>
                <w:sz w:val="20"/>
                <w:szCs w:val="16"/>
              </w:rPr>
              <w:t>brzegowe</w:t>
            </w:r>
            <w:r w:rsidR="003F07F3">
              <w:rPr>
                <w:sz w:val="20"/>
                <w:szCs w:val="16"/>
              </w:rPr>
              <w:t xml:space="preserve"> niezbędne do wyboru projektów</w:t>
            </w:r>
            <w:r w:rsidR="003F2B24">
              <w:rPr>
                <w:sz w:val="20"/>
                <w:szCs w:val="16"/>
              </w:rPr>
              <w:t xml:space="preserve"> do dofinansowania</w:t>
            </w:r>
            <w:r w:rsidRPr="00FB67BA">
              <w:rPr>
                <w:sz w:val="20"/>
                <w:szCs w:val="16"/>
              </w:rPr>
              <w:t xml:space="preserve">. Wspomniane już wcześniej zapisy wymaganej gotowości legislacyjnej oraz ograniczony czas realizacji inwestycji, uznane zostały przez potencjalnych beneficjentów za wymagające, w związku, z czym mogą oddziaływać na poziom kontraktacji projektów. </w:t>
            </w:r>
          </w:p>
          <w:p w:rsidR="00AC4CBE" w:rsidRPr="00D06FA9" w:rsidRDefault="00AC4CBE" w:rsidP="00BB5A64">
            <w:pPr>
              <w:autoSpaceDE w:val="0"/>
              <w:autoSpaceDN w:val="0"/>
              <w:adjustRightInd w:val="0"/>
              <w:spacing w:after="0" w:line="240" w:lineRule="auto"/>
              <w:jc w:val="both"/>
              <w:rPr>
                <w:sz w:val="20"/>
                <w:szCs w:val="16"/>
              </w:rPr>
            </w:pPr>
            <w:r>
              <w:rPr>
                <w:sz w:val="20"/>
                <w:szCs w:val="16"/>
              </w:rPr>
              <w:t xml:space="preserve">Biorąc pod uwagę fakt, iż Program Operacyjny Polska Cyfrowa w zeszłej perspektywie finansowej nie miał swojego poprzednika, należy odwołać się do podobnych projektów realizowanych </w:t>
            </w:r>
            <w:r w:rsidR="003519AD">
              <w:rPr>
                <w:sz w:val="20"/>
                <w:szCs w:val="16"/>
              </w:rPr>
              <w:t>wówczas w</w:t>
            </w:r>
            <w:r>
              <w:rPr>
                <w:sz w:val="20"/>
                <w:szCs w:val="16"/>
              </w:rPr>
              <w:t xml:space="preserve"> </w:t>
            </w:r>
            <w:r w:rsidRPr="00D06FA9">
              <w:rPr>
                <w:sz w:val="20"/>
                <w:szCs w:val="16"/>
              </w:rPr>
              <w:t>P</w:t>
            </w:r>
            <w:r>
              <w:rPr>
                <w:sz w:val="20"/>
                <w:szCs w:val="16"/>
              </w:rPr>
              <w:t xml:space="preserve">rogramie </w:t>
            </w:r>
            <w:r w:rsidRPr="00D06FA9">
              <w:rPr>
                <w:sz w:val="20"/>
                <w:szCs w:val="16"/>
              </w:rPr>
              <w:t>O</w:t>
            </w:r>
            <w:r>
              <w:rPr>
                <w:sz w:val="20"/>
                <w:szCs w:val="16"/>
              </w:rPr>
              <w:t xml:space="preserve">peracyjnym </w:t>
            </w:r>
            <w:r w:rsidR="003519AD">
              <w:rPr>
                <w:sz w:val="20"/>
                <w:szCs w:val="16"/>
              </w:rPr>
              <w:t xml:space="preserve">Innowacyjna Gospodarka. </w:t>
            </w:r>
            <w:r>
              <w:rPr>
                <w:sz w:val="20"/>
                <w:szCs w:val="16"/>
              </w:rPr>
              <w:t xml:space="preserve">Poniżej </w:t>
            </w:r>
            <w:r w:rsidR="005B3D37">
              <w:rPr>
                <w:sz w:val="20"/>
                <w:szCs w:val="16"/>
              </w:rPr>
              <w:t>przedstawiono problemy</w:t>
            </w:r>
            <w:r w:rsidR="003519AD">
              <w:rPr>
                <w:sz w:val="20"/>
                <w:szCs w:val="16"/>
              </w:rPr>
              <w:t>,</w:t>
            </w:r>
            <w:r w:rsidRPr="00D06FA9">
              <w:rPr>
                <w:sz w:val="20"/>
                <w:szCs w:val="16"/>
              </w:rPr>
              <w:t xml:space="preserve"> </w:t>
            </w:r>
            <w:r w:rsidR="003519AD">
              <w:rPr>
                <w:sz w:val="20"/>
                <w:szCs w:val="16"/>
              </w:rPr>
              <w:t>które mogą się pojawić podczas wdrażania</w:t>
            </w:r>
            <w:r w:rsidRPr="00D06FA9">
              <w:rPr>
                <w:sz w:val="20"/>
                <w:szCs w:val="16"/>
              </w:rPr>
              <w:t xml:space="preserve"> </w:t>
            </w:r>
            <w:r>
              <w:rPr>
                <w:sz w:val="20"/>
                <w:szCs w:val="16"/>
              </w:rPr>
              <w:t xml:space="preserve">2 </w:t>
            </w:r>
            <w:r w:rsidR="002A3981">
              <w:rPr>
                <w:sz w:val="20"/>
                <w:szCs w:val="16"/>
              </w:rPr>
              <w:t>osi priorytetowej</w:t>
            </w:r>
            <w:r w:rsidRPr="00D06FA9">
              <w:rPr>
                <w:sz w:val="20"/>
                <w:szCs w:val="16"/>
              </w:rPr>
              <w:t xml:space="preserve"> POPC:</w:t>
            </w:r>
          </w:p>
          <w:p w:rsidR="009323D3" w:rsidRDefault="009323D3" w:rsidP="00BB5A64">
            <w:pPr>
              <w:numPr>
                <w:ilvl w:val="0"/>
                <w:numId w:val="16"/>
              </w:numPr>
              <w:autoSpaceDE w:val="0"/>
              <w:autoSpaceDN w:val="0"/>
              <w:adjustRightInd w:val="0"/>
              <w:spacing w:after="0" w:line="240" w:lineRule="auto"/>
              <w:jc w:val="both"/>
              <w:rPr>
                <w:rFonts w:cs="Calibri"/>
                <w:sz w:val="20"/>
                <w:szCs w:val="20"/>
                <w:lang w:eastAsia="pl-PL"/>
              </w:rPr>
            </w:pPr>
            <w:r>
              <w:rPr>
                <w:rFonts w:cs="Calibri"/>
                <w:sz w:val="20"/>
                <w:szCs w:val="20"/>
                <w:lang w:eastAsia="pl-PL"/>
              </w:rPr>
              <w:t>Długotrwałe</w:t>
            </w:r>
            <w:r w:rsidRPr="00D06FA9">
              <w:rPr>
                <w:rFonts w:cs="Calibri"/>
                <w:sz w:val="20"/>
                <w:szCs w:val="20"/>
                <w:lang w:eastAsia="pl-PL"/>
              </w:rPr>
              <w:t xml:space="preserve"> przygotowanie podstaw </w:t>
            </w:r>
            <w:r>
              <w:rPr>
                <w:rFonts w:cs="Calibri"/>
                <w:sz w:val="20"/>
                <w:szCs w:val="20"/>
                <w:lang w:eastAsia="pl-PL"/>
              </w:rPr>
              <w:t>prawnych</w:t>
            </w:r>
            <w:r w:rsidRPr="00D06FA9">
              <w:rPr>
                <w:rFonts w:cs="Calibri"/>
                <w:sz w:val="20"/>
                <w:szCs w:val="20"/>
                <w:lang w:eastAsia="pl-PL"/>
              </w:rPr>
              <w:t xml:space="preserve"> dla realizowanych projektów</w:t>
            </w:r>
            <w:r>
              <w:rPr>
                <w:rFonts w:cs="Calibri"/>
                <w:sz w:val="20"/>
                <w:szCs w:val="20"/>
                <w:lang w:eastAsia="pl-PL"/>
              </w:rPr>
              <w:t xml:space="preserve">, uwzględniając istniejące procedury legislacyjne, szczególnie </w:t>
            </w:r>
            <w:r w:rsidR="00643CAB">
              <w:rPr>
                <w:rFonts w:cs="Calibri"/>
                <w:sz w:val="20"/>
                <w:szCs w:val="20"/>
                <w:lang w:eastAsia="pl-PL"/>
              </w:rPr>
              <w:t>etap</w:t>
            </w:r>
            <w:r>
              <w:rPr>
                <w:rFonts w:cs="Calibri"/>
                <w:sz w:val="20"/>
                <w:szCs w:val="20"/>
                <w:lang w:eastAsia="pl-PL"/>
              </w:rPr>
              <w:t xml:space="preserve"> konsultacji projektów oraz procedowanie  </w:t>
            </w:r>
            <w:proofErr w:type="spellStart"/>
            <w:r w:rsidR="00643CAB">
              <w:rPr>
                <w:rFonts w:cs="Calibri"/>
                <w:sz w:val="20"/>
                <w:szCs w:val="20"/>
                <w:lang w:eastAsia="pl-PL"/>
              </w:rPr>
              <w:t>aktam</w:t>
            </w:r>
            <w:r w:rsidR="00D93FC3">
              <w:rPr>
                <w:rFonts w:cs="Calibri"/>
                <w:sz w:val="20"/>
                <w:szCs w:val="20"/>
                <w:lang w:eastAsia="pl-PL"/>
              </w:rPr>
              <w:t>ów</w:t>
            </w:r>
            <w:proofErr w:type="spellEnd"/>
            <w:r w:rsidR="00643CAB">
              <w:rPr>
                <w:rFonts w:cs="Calibri"/>
                <w:sz w:val="20"/>
                <w:szCs w:val="20"/>
                <w:lang w:eastAsia="pl-PL"/>
              </w:rPr>
              <w:t xml:space="preserve"> prawny</w:t>
            </w:r>
            <w:r w:rsidR="00D93FC3">
              <w:rPr>
                <w:rFonts w:cs="Calibri"/>
                <w:sz w:val="20"/>
                <w:szCs w:val="20"/>
                <w:lang w:eastAsia="pl-PL"/>
              </w:rPr>
              <w:t>ch</w:t>
            </w:r>
            <w:r>
              <w:rPr>
                <w:rFonts w:cs="Calibri"/>
                <w:sz w:val="20"/>
                <w:szCs w:val="20"/>
                <w:lang w:eastAsia="pl-PL"/>
              </w:rPr>
              <w:t xml:space="preserve">. </w:t>
            </w:r>
          </w:p>
          <w:p w:rsidR="009323D3" w:rsidRDefault="009323D3" w:rsidP="00BB5A64">
            <w:pPr>
              <w:numPr>
                <w:ilvl w:val="0"/>
                <w:numId w:val="16"/>
              </w:numPr>
              <w:autoSpaceDE w:val="0"/>
              <w:autoSpaceDN w:val="0"/>
              <w:adjustRightInd w:val="0"/>
              <w:spacing w:after="0" w:line="240" w:lineRule="auto"/>
              <w:jc w:val="both"/>
              <w:rPr>
                <w:rFonts w:cs="Calibri"/>
                <w:sz w:val="20"/>
                <w:szCs w:val="20"/>
                <w:lang w:eastAsia="pl-PL"/>
              </w:rPr>
            </w:pPr>
            <w:r>
              <w:rPr>
                <w:rFonts w:cs="Calibri"/>
                <w:sz w:val="20"/>
                <w:szCs w:val="20"/>
                <w:lang w:eastAsia="pl-PL"/>
              </w:rPr>
              <w:t>D</w:t>
            </w:r>
            <w:r w:rsidRPr="00D06FA9">
              <w:rPr>
                <w:rFonts w:cs="Calibri"/>
                <w:sz w:val="20"/>
                <w:szCs w:val="20"/>
                <w:lang w:eastAsia="pl-PL"/>
              </w:rPr>
              <w:t>ługotrwałe procedury związane z zamówieniami publi</w:t>
            </w:r>
            <w:r>
              <w:rPr>
                <w:rFonts w:cs="Calibri"/>
                <w:sz w:val="20"/>
                <w:szCs w:val="20"/>
                <w:lang w:eastAsia="pl-PL"/>
              </w:rPr>
              <w:t xml:space="preserve">cznymi – ewentualna konieczność powtórzenia </w:t>
            </w:r>
            <w:r w:rsidRPr="00D06FA9">
              <w:rPr>
                <w:rFonts w:cs="Calibri"/>
                <w:sz w:val="20"/>
                <w:szCs w:val="20"/>
                <w:lang w:eastAsia="pl-PL"/>
              </w:rPr>
              <w:t xml:space="preserve">postępowania </w:t>
            </w:r>
            <w:r>
              <w:rPr>
                <w:rFonts w:cs="Calibri"/>
                <w:sz w:val="20"/>
                <w:szCs w:val="20"/>
                <w:lang w:eastAsia="pl-PL"/>
              </w:rPr>
              <w:t>w przypadku</w:t>
            </w:r>
            <w:r w:rsidRPr="00D06FA9">
              <w:rPr>
                <w:rFonts w:cs="Calibri"/>
                <w:sz w:val="20"/>
                <w:szCs w:val="20"/>
                <w:lang w:eastAsia="pl-PL"/>
              </w:rPr>
              <w:t xml:space="preserve"> brak</w:t>
            </w:r>
            <w:r>
              <w:rPr>
                <w:rFonts w:cs="Calibri"/>
                <w:sz w:val="20"/>
                <w:szCs w:val="20"/>
                <w:lang w:eastAsia="pl-PL"/>
              </w:rPr>
              <w:t>u</w:t>
            </w:r>
            <w:r w:rsidRPr="00D06FA9">
              <w:rPr>
                <w:rFonts w:cs="Calibri"/>
                <w:sz w:val="20"/>
                <w:szCs w:val="20"/>
                <w:lang w:eastAsia="pl-PL"/>
              </w:rPr>
              <w:t xml:space="preserve"> ofert</w:t>
            </w:r>
            <w:r>
              <w:rPr>
                <w:rFonts w:cs="Calibri"/>
                <w:sz w:val="20"/>
                <w:szCs w:val="20"/>
                <w:lang w:eastAsia="pl-PL"/>
              </w:rPr>
              <w:t>.</w:t>
            </w:r>
            <w:r w:rsidR="00D93FC3">
              <w:rPr>
                <w:rFonts w:cs="Calibri"/>
                <w:sz w:val="20"/>
                <w:szCs w:val="20"/>
                <w:lang w:eastAsia="pl-PL"/>
              </w:rPr>
              <w:t xml:space="preserve"> Znaczące kwoty projektów mogą wpłynąć na znaczącą liczbę </w:t>
            </w:r>
            <w:proofErr w:type="spellStart"/>
            <w:r w:rsidR="00D93FC3">
              <w:rPr>
                <w:rFonts w:cs="Calibri"/>
                <w:sz w:val="20"/>
                <w:szCs w:val="20"/>
                <w:lang w:eastAsia="pl-PL"/>
              </w:rPr>
              <w:t>odwołań</w:t>
            </w:r>
            <w:proofErr w:type="spellEnd"/>
            <w:r w:rsidR="00D93FC3">
              <w:rPr>
                <w:rFonts w:cs="Calibri"/>
                <w:sz w:val="20"/>
                <w:szCs w:val="20"/>
                <w:lang w:eastAsia="pl-PL"/>
              </w:rPr>
              <w:t xml:space="preserve"> od przetargów zgłaszanych przez potencjalnych beneficjentów;</w:t>
            </w:r>
          </w:p>
          <w:p w:rsidR="00643CAB" w:rsidRPr="005419C5" w:rsidRDefault="009323D3" w:rsidP="00D85C45">
            <w:pPr>
              <w:numPr>
                <w:ilvl w:val="0"/>
                <w:numId w:val="16"/>
              </w:numPr>
              <w:autoSpaceDE w:val="0"/>
              <w:autoSpaceDN w:val="0"/>
              <w:adjustRightInd w:val="0"/>
              <w:spacing w:after="0" w:line="240" w:lineRule="auto"/>
              <w:jc w:val="both"/>
              <w:rPr>
                <w:rFonts w:cs="Calibri"/>
                <w:sz w:val="20"/>
                <w:szCs w:val="20"/>
                <w:lang w:eastAsia="pl-PL"/>
              </w:rPr>
            </w:pPr>
            <w:r>
              <w:rPr>
                <w:rFonts w:cs="Calibri"/>
                <w:sz w:val="20"/>
                <w:szCs w:val="20"/>
                <w:lang w:eastAsia="pl-PL"/>
              </w:rPr>
              <w:t>Z</w:t>
            </w:r>
            <w:r w:rsidRPr="00D06FA9">
              <w:rPr>
                <w:rFonts w:cs="Calibri"/>
                <w:sz w:val="20"/>
                <w:szCs w:val="20"/>
                <w:lang w:eastAsia="pl-PL"/>
              </w:rPr>
              <w:t xml:space="preserve">miany </w:t>
            </w:r>
            <w:r>
              <w:rPr>
                <w:rFonts w:cs="Calibri"/>
                <w:sz w:val="20"/>
                <w:szCs w:val="20"/>
                <w:lang w:eastAsia="pl-PL"/>
              </w:rPr>
              <w:t xml:space="preserve">harmonogramów, tym samym wydłużanie </w:t>
            </w:r>
            <w:r w:rsidRPr="00D06FA9">
              <w:rPr>
                <w:rFonts w:cs="Calibri"/>
                <w:sz w:val="20"/>
                <w:szCs w:val="20"/>
                <w:lang w:eastAsia="pl-PL"/>
              </w:rPr>
              <w:t>realizacji projektów</w:t>
            </w:r>
            <w:r>
              <w:rPr>
                <w:rFonts w:cs="Calibri"/>
                <w:sz w:val="20"/>
                <w:szCs w:val="20"/>
                <w:lang w:eastAsia="pl-PL"/>
              </w:rPr>
              <w:t xml:space="preserve">. </w:t>
            </w:r>
          </w:p>
        </w:tc>
      </w:tr>
    </w:tbl>
    <w:p w:rsidR="00851B24" w:rsidRDefault="00851B24" w:rsidP="000F44E5">
      <w:pPr>
        <w:spacing w:before="120" w:after="120"/>
        <w:jc w:val="both"/>
      </w:pPr>
    </w:p>
    <w:p w:rsidR="00722C00" w:rsidRDefault="00722C00" w:rsidP="000F44E5">
      <w:pPr>
        <w:spacing w:before="120" w:after="120"/>
        <w:jc w:val="both"/>
      </w:pPr>
    </w:p>
    <w:p w:rsidR="00722C00" w:rsidRDefault="00722C00" w:rsidP="000F44E5">
      <w:pPr>
        <w:spacing w:before="120" w:after="120"/>
        <w:jc w:val="both"/>
        <w:sectPr w:rsidR="00722C00" w:rsidSect="0043575D">
          <w:pgSz w:w="11906" w:h="16838" w:code="9"/>
          <w:pgMar w:top="1418" w:right="1418" w:bottom="1418" w:left="1418" w:header="709" w:footer="709" w:gutter="0"/>
          <w:cols w:space="708"/>
          <w:docGrid w:linePitch="360"/>
        </w:sectPr>
      </w:pPr>
    </w:p>
    <w:p w:rsidR="00560461" w:rsidRPr="0017373C" w:rsidRDefault="00560461" w:rsidP="00560461">
      <w:pPr>
        <w:keepNext/>
        <w:shd w:val="clear" w:color="auto" w:fill="B8CCE4"/>
        <w:spacing w:before="240" w:after="60"/>
        <w:jc w:val="center"/>
        <w:outlineLvl w:val="1"/>
        <w:rPr>
          <w:rFonts w:eastAsia="Times New Roman"/>
          <w:b/>
          <w:bCs/>
          <w:iCs/>
          <w:color w:val="1F497D"/>
          <w:sz w:val="28"/>
          <w:szCs w:val="28"/>
        </w:rPr>
      </w:pPr>
      <w:bookmarkStart w:id="18" w:name="_Toc401825901"/>
      <w:r w:rsidRPr="0017373C">
        <w:rPr>
          <w:rFonts w:eastAsia="Times New Roman"/>
          <w:b/>
          <w:bCs/>
          <w:iCs/>
          <w:color w:val="1F497D"/>
          <w:sz w:val="28"/>
          <w:szCs w:val="28"/>
        </w:rPr>
        <w:lastRenderedPageBreak/>
        <w:t>Oś priorytetowa III. Cyfrowe kompetencje społeczeństwa</w:t>
      </w:r>
      <w:bookmarkEnd w:id="18"/>
    </w:p>
    <w:p w:rsidR="00560461" w:rsidRPr="0017373C" w:rsidRDefault="00560461" w:rsidP="00560461">
      <w:pPr>
        <w:keepNext/>
        <w:suppressAutoHyphens/>
        <w:spacing w:after="0" w:line="240" w:lineRule="auto"/>
        <w:rPr>
          <w:rFonts w:cs="Calibri"/>
          <w:b/>
          <w:bCs/>
          <w:color w:val="1F497D"/>
          <w:sz w:val="20"/>
          <w:szCs w:val="20"/>
          <w:lang w:eastAsia="ar-SA"/>
        </w:rPr>
      </w:pPr>
      <w:bookmarkStart w:id="19" w:name="_Toc401826765"/>
      <w:r w:rsidRPr="0017373C">
        <w:rPr>
          <w:rFonts w:cs="Calibri"/>
          <w:b/>
          <w:bCs/>
          <w:color w:val="1F497D"/>
          <w:sz w:val="20"/>
          <w:szCs w:val="20"/>
          <w:lang w:eastAsia="ar-SA"/>
        </w:rPr>
        <w:t xml:space="preserve">Tabela </w:t>
      </w:r>
      <w:r w:rsidRPr="0017373C">
        <w:rPr>
          <w:rFonts w:cs="Calibri"/>
          <w:b/>
          <w:bCs/>
          <w:color w:val="1F497D"/>
          <w:sz w:val="20"/>
          <w:szCs w:val="20"/>
          <w:lang w:eastAsia="ar-SA"/>
        </w:rPr>
        <w:fldChar w:fldCharType="begin"/>
      </w:r>
      <w:r w:rsidRPr="0017373C">
        <w:rPr>
          <w:rFonts w:cs="Calibri"/>
          <w:b/>
          <w:bCs/>
          <w:color w:val="1F497D"/>
          <w:sz w:val="20"/>
          <w:szCs w:val="20"/>
          <w:lang w:eastAsia="ar-SA"/>
        </w:rPr>
        <w:instrText xml:space="preserve"> SEQ "Tabela" \*Arabic </w:instrText>
      </w:r>
      <w:r w:rsidRPr="0017373C">
        <w:rPr>
          <w:rFonts w:cs="Calibri"/>
          <w:b/>
          <w:bCs/>
          <w:color w:val="1F497D"/>
          <w:sz w:val="20"/>
          <w:szCs w:val="20"/>
          <w:lang w:eastAsia="ar-SA"/>
        </w:rPr>
        <w:fldChar w:fldCharType="separate"/>
      </w:r>
      <w:r w:rsidR="002570DE">
        <w:rPr>
          <w:rFonts w:cs="Calibri"/>
          <w:b/>
          <w:bCs/>
          <w:noProof/>
          <w:color w:val="1F497D"/>
          <w:sz w:val="20"/>
          <w:szCs w:val="20"/>
          <w:lang w:eastAsia="ar-SA"/>
        </w:rPr>
        <w:t>12</w:t>
      </w:r>
      <w:r w:rsidRPr="0017373C">
        <w:rPr>
          <w:rFonts w:cs="Calibri"/>
          <w:b/>
          <w:bCs/>
          <w:color w:val="1F497D"/>
          <w:sz w:val="20"/>
          <w:szCs w:val="20"/>
          <w:lang w:eastAsia="ar-SA"/>
        </w:rPr>
        <w:fldChar w:fldCharType="end"/>
      </w:r>
      <w:r w:rsidRPr="0017373C">
        <w:rPr>
          <w:rFonts w:cs="Calibri"/>
          <w:b/>
          <w:bCs/>
          <w:color w:val="1F497D"/>
          <w:sz w:val="20"/>
          <w:szCs w:val="20"/>
          <w:lang w:eastAsia="ar-SA"/>
        </w:rPr>
        <w:t xml:space="preserve"> - Wskaźniki wprowadzone do ram wykonania w ramach osi priorytetowej III</w:t>
      </w:r>
      <w:bookmarkEnd w:id="19"/>
    </w:p>
    <w:tbl>
      <w:tblPr>
        <w:tblW w:w="14885" w:type="dxa"/>
        <w:tblInd w:w="108" w:type="dxa"/>
        <w:tblLayout w:type="fixed"/>
        <w:tblLook w:val="0000" w:firstRow="0" w:lastRow="0" w:firstColumn="0" w:lastColumn="0" w:noHBand="0" w:noVBand="0"/>
      </w:tblPr>
      <w:tblGrid>
        <w:gridCol w:w="529"/>
        <w:gridCol w:w="1662"/>
        <w:gridCol w:w="699"/>
        <w:gridCol w:w="949"/>
        <w:gridCol w:w="994"/>
        <w:gridCol w:w="699"/>
        <w:gridCol w:w="973"/>
        <w:gridCol w:w="655"/>
        <w:gridCol w:w="655"/>
        <w:gridCol w:w="1020"/>
        <w:gridCol w:w="649"/>
        <w:gridCol w:w="652"/>
        <w:gridCol w:w="1282"/>
        <w:gridCol w:w="1553"/>
        <w:gridCol w:w="1914"/>
      </w:tblGrid>
      <w:tr w:rsidR="00560461" w:rsidRPr="0017373C" w:rsidTr="00004677">
        <w:trPr>
          <w:trHeight w:val="960"/>
        </w:trPr>
        <w:tc>
          <w:tcPr>
            <w:tcW w:w="529"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Oś priorytetowa</w:t>
            </w:r>
          </w:p>
        </w:tc>
        <w:tc>
          <w:tcPr>
            <w:tcW w:w="1662"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Typ wskaźnika (KEW, wskaźnik  finansowy, produktu, lub jeśli właściwe – wskaźnik rezultatu)</w:t>
            </w:r>
          </w:p>
        </w:tc>
        <w:tc>
          <w:tcPr>
            <w:tcW w:w="699"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Nr identyfikacyjny.</w:t>
            </w:r>
          </w:p>
        </w:tc>
        <w:tc>
          <w:tcPr>
            <w:tcW w:w="949"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Wskaźnik lub KEW</w:t>
            </w:r>
          </w:p>
        </w:tc>
        <w:tc>
          <w:tcPr>
            <w:tcW w:w="994"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Jednostka pomiaru (w stosownych przypadkach)</w:t>
            </w:r>
          </w:p>
        </w:tc>
        <w:tc>
          <w:tcPr>
            <w:tcW w:w="699"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Fundusz</w:t>
            </w:r>
          </w:p>
        </w:tc>
        <w:tc>
          <w:tcPr>
            <w:tcW w:w="973"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Kategoria regionu</w:t>
            </w:r>
          </w:p>
        </w:tc>
        <w:tc>
          <w:tcPr>
            <w:tcW w:w="2330" w:type="dxa"/>
            <w:gridSpan w:val="3"/>
            <w:tcBorders>
              <w:top w:val="single" w:sz="4" w:space="0" w:color="000000"/>
              <w:left w:val="single" w:sz="4" w:space="0" w:color="000000"/>
              <w:bottom w:val="single" w:sz="4" w:space="0" w:color="000000"/>
            </w:tcBorders>
            <w:shd w:val="clear" w:color="auto" w:fill="8DB3E2"/>
          </w:tcPr>
          <w:p w:rsidR="00560461" w:rsidRPr="0017373C" w:rsidRDefault="00560461" w:rsidP="00004677">
            <w:pPr>
              <w:tabs>
                <w:tab w:val="left" w:pos="1188"/>
              </w:tabs>
              <w:suppressAutoHyphens/>
              <w:snapToGrid w:val="0"/>
              <w:spacing w:before="60" w:after="60"/>
              <w:rPr>
                <w:rFonts w:cs="Calibri"/>
                <w:sz w:val="16"/>
                <w:szCs w:val="12"/>
                <w:lang w:eastAsia="ar-SA"/>
              </w:rPr>
            </w:pPr>
            <w:r w:rsidRPr="0017373C">
              <w:rPr>
                <w:rFonts w:cs="Calibri"/>
                <w:sz w:val="16"/>
                <w:szCs w:val="12"/>
                <w:lang w:eastAsia="ar-SA"/>
              </w:rPr>
              <w:t>Cel pośredni (2018)</w:t>
            </w:r>
          </w:p>
        </w:tc>
        <w:tc>
          <w:tcPr>
            <w:tcW w:w="2583" w:type="dxa"/>
            <w:gridSpan w:val="3"/>
            <w:tcBorders>
              <w:top w:val="single" w:sz="4" w:space="0" w:color="000000"/>
              <w:left w:val="single" w:sz="4" w:space="0" w:color="000000"/>
              <w:bottom w:val="single" w:sz="4" w:space="0" w:color="000000"/>
            </w:tcBorders>
            <w:shd w:val="clear" w:color="auto" w:fill="8DB3E2"/>
          </w:tcPr>
          <w:p w:rsidR="00560461" w:rsidRPr="0017373C" w:rsidRDefault="00560461" w:rsidP="00004677">
            <w:pPr>
              <w:tabs>
                <w:tab w:val="left" w:pos="1188"/>
              </w:tabs>
              <w:suppressAutoHyphens/>
              <w:snapToGrid w:val="0"/>
              <w:spacing w:before="60" w:after="60"/>
              <w:rPr>
                <w:rFonts w:cs="Calibri"/>
                <w:sz w:val="16"/>
                <w:szCs w:val="12"/>
                <w:lang w:eastAsia="ar-SA"/>
              </w:rPr>
            </w:pPr>
            <w:r w:rsidRPr="0017373C">
              <w:rPr>
                <w:rFonts w:cs="Calibri"/>
                <w:sz w:val="16"/>
                <w:szCs w:val="12"/>
                <w:lang w:eastAsia="ar-SA"/>
              </w:rPr>
              <w:t>Cel końcowy (2023)</w:t>
            </w:r>
            <w:r w:rsidRPr="0017373C">
              <w:rPr>
                <w:rFonts w:cs="Calibri"/>
                <w:b/>
                <w:sz w:val="16"/>
                <w:szCs w:val="12"/>
                <w:vertAlign w:val="superscript"/>
                <w:lang w:eastAsia="ar-SA"/>
              </w:rPr>
              <w:footnoteReference w:id="18"/>
            </w:r>
          </w:p>
        </w:tc>
        <w:tc>
          <w:tcPr>
            <w:tcW w:w="1553" w:type="dxa"/>
            <w:vMerge w:val="restart"/>
            <w:tcBorders>
              <w:top w:val="single" w:sz="4" w:space="0" w:color="000000"/>
              <w:left w:val="single" w:sz="4" w:space="0" w:color="000000"/>
              <w:bottom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Źródło danych</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8DB3E2"/>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Wyjaśnienie adekwatności wskaźnika (w stosownych przypadkach)</w:t>
            </w:r>
            <w:r w:rsidRPr="0017373C">
              <w:rPr>
                <w:rFonts w:cs="Calibri"/>
                <w:b/>
                <w:sz w:val="16"/>
                <w:szCs w:val="12"/>
                <w:vertAlign w:val="superscript"/>
                <w:lang w:eastAsia="ar-SA"/>
              </w:rPr>
              <w:footnoteReference w:id="19"/>
            </w:r>
          </w:p>
        </w:tc>
      </w:tr>
      <w:tr w:rsidR="00560461" w:rsidRPr="0017373C" w:rsidTr="00004677">
        <w:trPr>
          <w:trHeight w:val="457"/>
        </w:trPr>
        <w:tc>
          <w:tcPr>
            <w:tcW w:w="529"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1662"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699"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94"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699"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73"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center"/>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center"/>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center"/>
              <w:rPr>
                <w:rFonts w:cs="Calibri"/>
                <w:sz w:val="16"/>
                <w:szCs w:val="12"/>
                <w:lang w:eastAsia="ar-SA"/>
              </w:rPr>
            </w:pPr>
            <w:r w:rsidRPr="0017373C">
              <w:rPr>
                <w:rFonts w:cs="Calibri"/>
                <w:sz w:val="16"/>
                <w:szCs w:val="12"/>
                <w:lang w:eastAsia="ar-SA"/>
              </w:rPr>
              <w:t>O</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center"/>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center"/>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center"/>
              <w:rPr>
                <w:rFonts w:cs="Calibri"/>
                <w:sz w:val="16"/>
                <w:szCs w:val="12"/>
                <w:lang w:eastAsia="ar-SA"/>
              </w:rPr>
            </w:pPr>
            <w:r w:rsidRPr="0017373C">
              <w:rPr>
                <w:rFonts w:cs="Calibri"/>
                <w:sz w:val="16"/>
                <w:szCs w:val="12"/>
                <w:lang w:eastAsia="ar-SA"/>
              </w:rPr>
              <w:t>O</w:t>
            </w:r>
          </w:p>
        </w:tc>
        <w:tc>
          <w:tcPr>
            <w:tcW w:w="1553" w:type="dxa"/>
            <w:vMerge/>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r>
      <w:tr w:rsidR="00560461" w:rsidRPr="0017373C" w:rsidTr="00004677">
        <w:trPr>
          <w:trHeight w:val="973"/>
        </w:trPr>
        <w:tc>
          <w:tcPr>
            <w:tcW w:w="52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3</w:t>
            </w:r>
          </w:p>
        </w:tc>
        <w:tc>
          <w:tcPr>
            <w:tcW w:w="166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Liczba osób objętych działaniami szkoleniowymi w zakresie korzystania z Internetu (w tym e-usług)</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Wskaźnik produktu</w:t>
            </w:r>
          </w:p>
        </w:tc>
        <w:tc>
          <w:tcPr>
            <w:tcW w:w="994"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osoby</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EFRR</w:t>
            </w:r>
          </w:p>
        </w:tc>
        <w:tc>
          <w:tcPr>
            <w:tcW w:w="97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Słabiej rozwinięty</w:t>
            </w: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right"/>
              <w:rPr>
                <w:rFonts w:cs="Calibri"/>
                <w:sz w:val="16"/>
                <w:szCs w:val="12"/>
                <w:lang w:eastAsia="ar-SA"/>
              </w:rPr>
            </w:pPr>
            <w:r w:rsidRPr="00DB6C31">
              <w:rPr>
                <w:rFonts w:cs="Calibri"/>
                <w:sz w:val="16"/>
                <w:szCs w:val="12"/>
                <w:lang w:eastAsia="ar-SA"/>
              </w:rPr>
              <w:t>0</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right"/>
              <w:rPr>
                <w:rFonts w:cs="Calibri"/>
                <w:sz w:val="16"/>
                <w:szCs w:val="12"/>
                <w:lang w:eastAsia="ar-SA"/>
              </w:rPr>
            </w:pPr>
            <w:r w:rsidRPr="00AE593E">
              <w:rPr>
                <w:rFonts w:cs="Calibri"/>
                <w:sz w:val="16"/>
                <w:szCs w:val="12"/>
                <w:lang w:eastAsia="ar-SA"/>
              </w:rPr>
              <w:t>407 342</w:t>
            </w:r>
          </w:p>
        </w:tc>
        <w:tc>
          <w:tcPr>
            <w:tcW w:w="155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Informatyczny system monitorowania programu</w:t>
            </w:r>
          </w:p>
          <w:p w:rsidR="00560461" w:rsidRPr="0017373C" w:rsidRDefault="00560461" w:rsidP="00004677">
            <w:pPr>
              <w:suppressAutoHyphens/>
              <w:spacing w:before="60" w:after="60"/>
              <w:rPr>
                <w:rFonts w:cs="Calibri"/>
                <w:sz w:val="16"/>
                <w:szCs w:val="12"/>
                <w:lang w:eastAsia="ar-SA"/>
              </w:rPr>
            </w:pPr>
          </w:p>
          <w:p w:rsidR="00560461" w:rsidRPr="0017373C" w:rsidRDefault="00560461" w:rsidP="00004677">
            <w:pPr>
              <w:suppressAutoHyphens/>
              <w:spacing w:before="60" w:after="60"/>
              <w:rPr>
                <w:rFonts w:cs="Calibri"/>
                <w:sz w:val="16"/>
                <w:szCs w:val="12"/>
                <w:lang w:eastAsia="ar-SA"/>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 xml:space="preserve">Wskaźnik obrazuje ok. 58% alokacji na poziomie osi priorytetowej </w:t>
            </w:r>
          </w:p>
        </w:tc>
      </w:tr>
      <w:tr w:rsidR="00560461" w:rsidRPr="0017373C" w:rsidTr="00004677">
        <w:trPr>
          <w:trHeight w:val="973"/>
        </w:trPr>
        <w:tc>
          <w:tcPr>
            <w:tcW w:w="52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8"/>
                <w:szCs w:val="18"/>
                <w:lang w:eastAsia="ar-SA"/>
              </w:rPr>
            </w:pPr>
            <w:r w:rsidRPr="0017373C">
              <w:rPr>
                <w:rFonts w:cs="Calibri"/>
                <w:sz w:val="16"/>
                <w:szCs w:val="12"/>
                <w:lang w:eastAsia="ar-SA"/>
              </w:rPr>
              <w:t>3</w:t>
            </w:r>
          </w:p>
        </w:tc>
        <w:tc>
          <w:tcPr>
            <w:tcW w:w="166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 xml:space="preserve">Liczba osób objętych działaniami szkoleniowymi w zakresie korzystania z Internetu (w tym e-usług) </w:t>
            </w:r>
            <w:r w:rsidRPr="0017373C">
              <w:rPr>
                <w:sz w:val="16"/>
                <w:szCs w:val="16"/>
              </w:rPr>
              <w:t>na podstawie wartości docelowej z zawartych umów o dofinansowanie projektów</w:t>
            </w:r>
            <w:r w:rsidRPr="0017373C" w:rsidDel="00B10587">
              <w:rPr>
                <w:rFonts w:cs="Calibri"/>
                <w:sz w:val="18"/>
                <w:szCs w:val="18"/>
                <w:lang w:eastAsia="ar-SA"/>
              </w:rPr>
              <w:t xml:space="preserve"> </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KEW</w:t>
            </w:r>
          </w:p>
        </w:tc>
        <w:tc>
          <w:tcPr>
            <w:tcW w:w="994"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EFRR</w:t>
            </w:r>
          </w:p>
        </w:tc>
        <w:tc>
          <w:tcPr>
            <w:tcW w:w="97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Słabiej rozwinięty</w:t>
            </w: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B32F0E" w:rsidP="00004677">
            <w:pPr>
              <w:tabs>
                <w:tab w:val="left" w:pos="1188"/>
              </w:tabs>
              <w:suppressAutoHyphens/>
              <w:snapToGrid w:val="0"/>
              <w:spacing w:before="60" w:after="60"/>
              <w:jc w:val="right"/>
              <w:rPr>
                <w:rFonts w:cs="Calibri"/>
                <w:sz w:val="16"/>
                <w:szCs w:val="12"/>
                <w:lang w:eastAsia="ar-SA"/>
              </w:rPr>
            </w:pPr>
            <w:r>
              <w:rPr>
                <w:rFonts w:cs="Calibri"/>
                <w:sz w:val="16"/>
                <w:szCs w:val="12"/>
                <w:lang w:eastAsia="ar-SA"/>
              </w:rPr>
              <w:t>162 937</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roofErr w:type="spellStart"/>
            <w:r w:rsidRPr="00DB6C31">
              <w:rPr>
                <w:rFonts w:cs="Calibri"/>
                <w:sz w:val="16"/>
                <w:szCs w:val="12"/>
                <w:lang w:eastAsia="ar-SA"/>
              </w:rPr>
              <w:t>nd</w:t>
            </w:r>
            <w:proofErr w:type="spellEnd"/>
            <w:r w:rsidRPr="00DB6C31">
              <w:rPr>
                <w:rFonts w:cs="Calibri"/>
                <w:sz w:val="16"/>
                <w:szCs w:val="12"/>
                <w:lang w:eastAsia="ar-SA"/>
              </w:rPr>
              <w:t>.</w:t>
            </w:r>
          </w:p>
        </w:tc>
        <w:tc>
          <w:tcPr>
            <w:tcW w:w="155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Informatyczny system monitorowania programu</w:t>
            </w:r>
          </w:p>
          <w:p w:rsidR="00560461" w:rsidRPr="0017373C" w:rsidRDefault="00560461" w:rsidP="00004677">
            <w:pPr>
              <w:suppressAutoHyphens/>
              <w:spacing w:before="60" w:after="60"/>
              <w:rPr>
                <w:rFonts w:cs="Calibri"/>
                <w:sz w:val="16"/>
                <w:szCs w:val="12"/>
                <w:lang w:eastAsia="ar-SA"/>
              </w:rPr>
            </w:pPr>
          </w:p>
          <w:p w:rsidR="00560461" w:rsidRPr="0017373C" w:rsidRDefault="00560461" w:rsidP="00004677">
            <w:pPr>
              <w:suppressAutoHyphens/>
              <w:spacing w:before="60" w:after="60"/>
              <w:rPr>
                <w:rFonts w:cs="Calibri"/>
                <w:sz w:val="16"/>
                <w:szCs w:val="12"/>
                <w:lang w:eastAsia="ar-SA"/>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r>
      <w:tr w:rsidR="00560461" w:rsidRPr="0017373C" w:rsidTr="00004677">
        <w:trPr>
          <w:trHeight w:val="973"/>
        </w:trPr>
        <w:tc>
          <w:tcPr>
            <w:tcW w:w="52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3</w:t>
            </w:r>
          </w:p>
        </w:tc>
        <w:tc>
          <w:tcPr>
            <w:tcW w:w="166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Całkowita kwota certyfikowanych wydatków kwalifikowalnych</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Wskaźnik finansowy</w:t>
            </w:r>
          </w:p>
        </w:tc>
        <w:tc>
          <w:tcPr>
            <w:tcW w:w="994"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EUR</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EFRR</w:t>
            </w:r>
          </w:p>
        </w:tc>
        <w:tc>
          <w:tcPr>
            <w:tcW w:w="97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Słabiej rozwinięty</w:t>
            </w: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2C7278" w:rsidP="00004677">
            <w:pPr>
              <w:tabs>
                <w:tab w:val="left" w:pos="1188"/>
              </w:tabs>
              <w:suppressAutoHyphens/>
              <w:snapToGrid w:val="0"/>
              <w:spacing w:before="60" w:after="60"/>
              <w:jc w:val="right"/>
              <w:rPr>
                <w:rFonts w:cs="Calibri"/>
                <w:sz w:val="16"/>
                <w:szCs w:val="12"/>
                <w:lang w:eastAsia="ar-SA"/>
              </w:rPr>
            </w:pPr>
            <w:r>
              <w:rPr>
                <w:rFonts w:cs="Calibri"/>
                <w:sz w:val="16"/>
                <w:szCs w:val="12"/>
                <w:lang w:eastAsia="ar-SA"/>
              </w:rPr>
              <w:t>9 549 462</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9B6A15">
            <w:pPr>
              <w:tabs>
                <w:tab w:val="left" w:pos="1188"/>
              </w:tabs>
              <w:suppressAutoHyphens/>
              <w:snapToGrid w:val="0"/>
              <w:spacing w:before="60" w:after="60"/>
              <w:jc w:val="right"/>
              <w:rPr>
                <w:rFonts w:cs="Calibri"/>
                <w:sz w:val="16"/>
                <w:szCs w:val="12"/>
                <w:lang w:eastAsia="ar-SA"/>
              </w:rPr>
            </w:pPr>
            <w:r>
              <w:rPr>
                <w:rFonts w:cs="Calibri"/>
                <w:sz w:val="16"/>
                <w:szCs w:val="12"/>
                <w:lang w:eastAsia="ar-SA"/>
              </w:rPr>
              <w:t>178</w:t>
            </w:r>
            <w:r w:rsidR="008820BF">
              <w:rPr>
                <w:rFonts w:cs="Calibri"/>
                <w:sz w:val="16"/>
                <w:szCs w:val="12"/>
                <w:lang w:eastAsia="ar-SA"/>
              </w:rPr>
              <w:t> 534 961</w:t>
            </w:r>
          </w:p>
        </w:tc>
        <w:tc>
          <w:tcPr>
            <w:tcW w:w="155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Informatyczny system monitorowania programu</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t>
            </w:r>
          </w:p>
        </w:tc>
      </w:tr>
      <w:tr w:rsidR="00560461" w:rsidRPr="0017373C" w:rsidTr="00004677">
        <w:trPr>
          <w:trHeight w:val="237"/>
        </w:trPr>
        <w:tc>
          <w:tcPr>
            <w:tcW w:w="52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3</w:t>
            </w:r>
          </w:p>
        </w:tc>
        <w:tc>
          <w:tcPr>
            <w:tcW w:w="166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 xml:space="preserve">Liczba osób objętych działaniami </w:t>
            </w:r>
            <w:r w:rsidRPr="0017373C">
              <w:rPr>
                <w:rFonts w:cs="Calibri"/>
                <w:sz w:val="16"/>
                <w:szCs w:val="12"/>
                <w:lang w:eastAsia="ar-SA"/>
              </w:rPr>
              <w:lastRenderedPageBreak/>
              <w:t>szkoleniowymi w zakresie korzystania z Internetu (w tym e-usług)</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Wskaźnik produktu</w:t>
            </w:r>
          </w:p>
        </w:tc>
        <w:tc>
          <w:tcPr>
            <w:tcW w:w="994"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osoby</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EFRR</w:t>
            </w:r>
          </w:p>
        </w:tc>
        <w:tc>
          <w:tcPr>
            <w:tcW w:w="97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Lepiej rozwinięty</w:t>
            </w: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right"/>
              <w:rPr>
                <w:rFonts w:cs="Calibri"/>
                <w:sz w:val="16"/>
                <w:szCs w:val="12"/>
                <w:lang w:eastAsia="ar-SA"/>
              </w:rPr>
            </w:pPr>
            <w:r w:rsidRPr="0017373C">
              <w:rPr>
                <w:rFonts w:cs="Calibri"/>
                <w:sz w:val="16"/>
                <w:szCs w:val="12"/>
                <w:lang w:eastAsia="ar-SA"/>
              </w:rPr>
              <w:t>0</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right"/>
              <w:rPr>
                <w:rFonts w:cs="Calibri"/>
                <w:sz w:val="16"/>
                <w:szCs w:val="12"/>
                <w:lang w:eastAsia="ar-SA"/>
              </w:rPr>
            </w:pPr>
            <w:r w:rsidRPr="00AE593E">
              <w:rPr>
                <w:rFonts w:cs="Calibri"/>
                <w:sz w:val="16"/>
                <w:szCs w:val="12"/>
                <w:lang w:eastAsia="ar-SA"/>
              </w:rPr>
              <w:t>29 854</w:t>
            </w:r>
          </w:p>
        </w:tc>
        <w:tc>
          <w:tcPr>
            <w:tcW w:w="155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 xml:space="preserve">Informatyczny system </w:t>
            </w:r>
            <w:r w:rsidRPr="0017373C">
              <w:rPr>
                <w:rFonts w:cs="Calibri"/>
                <w:sz w:val="16"/>
                <w:szCs w:val="12"/>
                <w:lang w:eastAsia="ar-SA"/>
              </w:rPr>
              <w:lastRenderedPageBreak/>
              <w:t>monitorowania programu</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lastRenderedPageBreak/>
              <w:t xml:space="preserve">Wskaźnik obrazuje ok. 58% alokacji na poziomie </w:t>
            </w:r>
            <w:r w:rsidRPr="0017373C">
              <w:rPr>
                <w:rFonts w:cs="Calibri"/>
                <w:sz w:val="16"/>
                <w:szCs w:val="12"/>
                <w:lang w:eastAsia="ar-SA"/>
              </w:rPr>
              <w:lastRenderedPageBreak/>
              <w:t>osi priorytetowej</w:t>
            </w:r>
          </w:p>
        </w:tc>
      </w:tr>
      <w:tr w:rsidR="00560461" w:rsidRPr="0017373C" w:rsidTr="00004677">
        <w:trPr>
          <w:trHeight w:val="237"/>
        </w:trPr>
        <w:tc>
          <w:tcPr>
            <w:tcW w:w="52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8"/>
                <w:szCs w:val="18"/>
                <w:lang w:eastAsia="ar-SA"/>
              </w:rPr>
            </w:pPr>
            <w:r w:rsidRPr="0017373C">
              <w:rPr>
                <w:rFonts w:cs="Calibri"/>
                <w:sz w:val="16"/>
                <w:szCs w:val="12"/>
                <w:lang w:eastAsia="ar-SA"/>
              </w:rPr>
              <w:lastRenderedPageBreak/>
              <w:t>3</w:t>
            </w:r>
          </w:p>
        </w:tc>
        <w:tc>
          <w:tcPr>
            <w:tcW w:w="166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 xml:space="preserve">Liczba osób objętych działaniami szkoleniowymi w zakresie korzystania z Internetu (w tym e-usług) </w:t>
            </w:r>
            <w:r w:rsidRPr="0017373C">
              <w:rPr>
                <w:sz w:val="16"/>
                <w:szCs w:val="16"/>
              </w:rPr>
              <w:t>na podstawie wartości docelowej z zawartych umów o dofinansowanie projektów</w:t>
            </w:r>
            <w:r w:rsidRPr="0017373C" w:rsidDel="00B10587">
              <w:rPr>
                <w:rFonts w:cs="Calibri"/>
                <w:sz w:val="18"/>
                <w:szCs w:val="18"/>
                <w:lang w:eastAsia="ar-SA"/>
              </w:rPr>
              <w:t xml:space="preserve"> </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KEW</w:t>
            </w:r>
          </w:p>
        </w:tc>
        <w:tc>
          <w:tcPr>
            <w:tcW w:w="994"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EFRR</w:t>
            </w:r>
          </w:p>
        </w:tc>
        <w:tc>
          <w:tcPr>
            <w:tcW w:w="97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Lepiej rozwinięty</w:t>
            </w: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B32F0E" w:rsidP="00004677">
            <w:pPr>
              <w:tabs>
                <w:tab w:val="left" w:pos="1188"/>
              </w:tabs>
              <w:suppressAutoHyphens/>
              <w:snapToGrid w:val="0"/>
              <w:spacing w:before="60" w:after="60"/>
              <w:jc w:val="right"/>
              <w:rPr>
                <w:rFonts w:cs="Calibri"/>
                <w:sz w:val="16"/>
                <w:szCs w:val="12"/>
                <w:lang w:eastAsia="ar-SA"/>
              </w:rPr>
            </w:pPr>
            <w:r>
              <w:rPr>
                <w:rFonts w:cs="Calibri"/>
                <w:sz w:val="16"/>
                <w:szCs w:val="12"/>
                <w:lang w:eastAsia="ar-SA"/>
              </w:rPr>
              <w:t>11 942</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tabs>
                <w:tab w:val="left" w:pos="1188"/>
              </w:tabs>
              <w:suppressAutoHyphens/>
              <w:snapToGrid w:val="0"/>
              <w:spacing w:before="60" w:after="60"/>
              <w:jc w:val="right"/>
              <w:rPr>
                <w:rFonts w:cs="Calibri"/>
                <w:sz w:val="16"/>
                <w:szCs w:val="12"/>
                <w:lang w:eastAsia="ar-SA"/>
              </w:rPr>
            </w:pPr>
            <w:proofErr w:type="spellStart"/>
            <w:r w:rsidRPr="0017373C">
              <w:rPr>
                <w:rFonts w:cs="Calibri"/>
                <w:sz w:val="16"/>
                <w:szCs w:val="12"/>
                <w:lang w:eastAsia="ar-SA"/>
              </w:rPr>
              <w:t>nd</w:t>
            </w:r>
            <w:proofErr w:type="spellEnd"/>
            <w:r w:rsidRPr="0017373C">
              <w:rPr>
                <w:rFonts w:cs="Calibri"/>
                <w:sz w:val="16"/>
                <w:szCs w:val="12"/>
                <w:lang w:eastAsia="ar-SA"/>
              </w:rPr>
              <w:t>.</w:t>
            </w:r>
          </w:p>
        </w:tc>
        <w:tc>
          <w:tcPr>
            <w:tcW w:w="155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Informatyczny system monitorowania programu</w:t>
            </w:r>
          </w:p>
          <w:p w:rsidR="00560461" w:rsidRPr="0017373C" w:rsidRDefault="00560461" w:rsidP="00004677">
            <w:pPr>
              <w:suppressAutoHyphens/>
              <w:spacing w:before="60" w:after="60"/>
              <w:rPr>
                <w:rFonts w:cs="Calibri"/>
                <w:sz w:val="16"/>
                <w:szCs w:val="12"/>
                <w:lang w:eastAsia="ar-SA"/>
              </w:rPr>
            </w:pPr>
          </w:p>
          <w:p w:rsidR="00560461" w:rsidRPr="0017373C" w:rsidRDefault="00560461" w:rsidP="00004677">
            <w:pPr>
              <w:suppressAutoHyphens/>
              <w:spacing w:before="60" w:after="60"/>
              <w:rPr>
                <w:rFonts w:cs="Calibri"/>
                <w:sz w:val="16"/>
                <w:szCs w:val="12"/>
                <w:lang w:eastAsia="ar-SA"/>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r>
      <w:tr w:rsidR="00560461" w:rsidRPr="0017373C" w:rsidTr="00004677">
        <w:trPr>
          <w:trHeight w:val="237"/>
        </w:trPr>
        <w:tc>
          <w:tcPr>
            <w:tcW w:w="52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3</w:t>
            </w:r>
          </w:p>
        </w:tc>
        <w:tc>
          <w:tcPr>
            <w:tcW w:w="1662"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Całkowita kwota certyfikowanych wydatków kwalifikowalnych</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p>
        </w:tc>
        <w:tc>
          <w:tcPr>
            <w:tcW w:w="94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Wskaźnik finansowy</w:t>
            </w:r>
          </w:p>
        </w:tc>
        <w:tc>
          <w:tcPr>
            <w:tcW w:w="994"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EUR</w:t>
            </w:r>
          </w:p>
        </w:tc>
        <w:tc>
          <w:tcPr>
            <w:tcW w:w="699"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EFRR</w:t>
            </w:r>
          </w:p>
        </w:tc>
        <w:tc>
          <w:tcPr>
            <w:tcW w:w="97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Lepiej rozwinięty</w:t>
            </w: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5"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020" w:type="dxa"/>
            <w:tcBorders>
              <w:top w:val="single" w:sz="4" w:space="0" w:color="000000"/>
              <w:left w:val="single" w:sz="4" w:space="0" w:color="000000"/>
              <w:bottom w:val="single" w:sz="4" w:space="0" w:color="000000"/>
            </w:tcBorders>
            <w:shd w:val="clear" w:color="auto" w:fill="auto"/>
          </w:tcPr>
          <w:p w:rsidR="00560461" w:rsidRPr="0017373C" w:rsidRDefault="002C7278" w:rsidP="00004677">
            <w:pPr>
              <w:tabs>
                <w:tab w:val="left" w:pos="1188"/>
              </w:tabs>
              <w:suppressAutoHyphens/>
              <w:snapToGrid w:val="0"/>
              <w:spacing w:before="60" w:after="60"/>
              <w:jc w:val="right"/>
              <w:rPr>
                <w:rFonts w:cs="Calibri"/>
                <w:sz w:val="16"/>
                <w:szCs w:val="12"/>
                <w:lang w:eastAsia="ar-SA"/>
              </w:rPr>
            </w:pPr>
            <w:r>
              <w:rPr>
                <w:rFonts w:cs="Calibri"/>
                <w:sz w:val="16"/>
                <w:szCs w:val="12"/>
                <w:lang w:eastAsia="ar-SA"/>
              </w:rPr>
              <w:t>763 700</w:t>
            </w:r>
          </w:p>
        </w:tc>
        <w:tc>
          <w:tcPr>
            <w:tcW w:w="649"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652" w:type="dxa"/>
            <w:tcBorders>
              <w:top w:val="single" w:sz="4" w:space="0" w:color="000000"/>
              <w:left w:val="single" w:sz="4" w:space="0" w:color="000000"/>
              <w:bottom w:val="single" w:sz="4" w:space="0" w:color="000000"/>
            </w:tcBorders>
            <w:shd w:val="clear" w:color="auto" w:fill="D9D9D9"/>
          </w:tcPr>
          <w:p w:rsidR="00560461" w:rsidRPr="0017373C" w:rsidRDefault="00560461" w:rsidP="00004677">
            <w:pPr>
              <w:tabs>
                <w:tab w:val="left" w:pos="1188"/>
              </w:tabs>
              <w:suppressAutoHyphens/>
              <w:snapToGrid w:val="0"/>
              <w:spacing w:before="60" w:after="60"/>
              <w:rPr>
                <w:rFonts w:cs="Calibri"/>
                <w:sz w:val="16"/>
                <w:szCs w:val="12"/>
                <w:lang w:eastAsia="ar-SA"/>
              </w:rPr>
            </w:pPr>
          </w:p>
        </w:tc>
        <w:tc>
          <w:tcPr>
            <w:tcW w:w="1282" w:type="dxa"/>
            <w:tcBorders>
              <w:top w:val="single" w:sz="4" w:space="0" w:color="000000"/>
              <w:left w:val="single" w:sz="4" w:space="0" w:color="000000"/>
              <w:bottom w:val="single" w:sz="4" w:space="0" w:color="000000"/>
            </w:tcBorders>
            <w:shd w:val="clear" w:color="auto" w:fill="auto"/>
          </w:tcPr>
          <w:p w:rsidR="00560461" w:rsidRPr="0017373C" w:rsidRDefault="009B6A15">
            <w:pPr>
              <w:tabs>
                <w:tab w:val="left" w:pos="1188"/>
              </w:tabs>
              <w:suppressAutoHyphens/>
              <w:snapToGrid w:val="0"/>
              <w:spacing w:before="60" w:after="60"/>
              <w:jc w:val="right"/>
              <w:rPr>
                <w:rFonts w:cs="Calibri"/>
                <w:sz w:val="16"/>
                <w:szCs w:val="12"/>
                <w:lang w:eastAsia="ar-SA"/>
              </w:rPr>
            </w:pPr>
            <w:r>
              <w:rPr>
                <w:rFonts w:cs="Calibri"/>
                <w:sz w:val="16"/>
                <w:szCs w:val="12"/>
                <w:lang w:eastAsia="ar-SA"/>
              </w:rPr>
              <w:t>14</w:t>
            </w:r>
            <w:r w:rsidR="00CB6268">
              <w:rPr>
                <w:rFonts w:cs="Calibri"/>
                <w:sz w:val="16"/>
                <w:szCs w:val="12"/>
                <w:lang w:eastAsia="ar-SA"/>
              </w:rPr>
              <w:t> 277 998</w:t>
            </w:r>
          </w:p>
        </w:tc>
        <w:tc>
          <w:tcPr>
            <w:tcW w:w="1553" w:type="dxa"/>
            <w:tcBorders>
              <w:top w:val="single" w:sz="4" w:space="0" w:color="000000"/>
              <w:left w:val="single" w:sz="4" w:space="0" w:color="000000"/>
              <w:bottom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Informatyczny system monitorowania programu</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snapToGrid w:val="0"/>
              <w:spacing w:before="60" w:after="60"/>
              <w:rPr>
                <w:rFonts w:cs="Calibri"/>
                <w:sz w:val="16"/>
                <w:szCs w:val="12"/>
                <w:lang w:eastAsia="ar-SA"/>
              </w:rPr>
            </w:pPr>
            <w:r w:rsidRPr="0017373C">
              <w:rPr>
                <w:rFonts w:cs="Calibri"/>
                <w:sz w:val="16"/>
                <w:szCs w:val="12"/>
                <w:lang w:eastAsia="ar-SA"/>
              </w:rPr>
              <w:t>-</w:t>
            </w:r>
          </w:p>
          <w:p w:rsidR="00560461" w:rsidRPr="0017373C" w:rsidRDefault="00560461" w:rsidP="00004677">
            <w:pPr>
              <w:suppressAutoHyphens/>
              <w:spacing w:before="60" w:after="60"/>
              <w:rPr>
                <w:rFonts w:cs="Calibri"/>
                <w:sz w:val="16"/>
                <w:szCs w:val="12"/>
                <w:lang w:eastAsia="ar-SA"/>
              </w:rPr>
            </w:pPr>
          </w:p>
        </w:tc>
      </w:tr>
    </w:tbl>
    <w:p w:rsidR="00560461" w:rsidRPr="0017373C" w:rsidRDefault="00560461" w:rsidP="00560461">
      <w:pPr>
        <w:jc w:val="both"/>
        <w:rPr>
          <w:rFonts w:ascii="Helv" w:hAnsi="Helv" w:cs="Helv"/>
          <w:color w:val="000000"/>
          <w:sz w:val="20"/>
          <w:szCs w:val="20"/>
          <w:lang w:eastAsia="pl-PL"/>
        </w:rPr>
      </w:pPr>
    </w:p>
    <w:p w:rsidR="00560461" w:rsidRPr="0017373C" w:rsidRDefault="00560461" w:rsidP="00560461">
      <w:pPr>
        <w:jc w:val="both"/>
        <w:rPr>
          <w:rFonts w:cs="Calibri"/>
        </w:rPr>
      </w:pPr>
    </w:p>
    <w:p w:rsidR="00560461" w:rsidRPr="0017373C" w:rsidRDefault="00560461" w:rsidP="00560461">
      <w:pPr>
        <w:suppressAutoHyphens/>
        <w:rPr>
          <w:rFonts w:cs="Calibri"/>
          <w:lang w:eastAsia="ar-SA"/>
        </w:rPr>
        <w:sectPr w:rsidR="00560461" w:rsidRPr="0017373C">
          <w:footerReference w:type="default" r:id="rId15"/>
          <w:pgSz w:w="16838" w:h="11906" w:orient="landscape"/>
          <w:pgMar w:top="1418" w:right="1418" w:bottom="1418" w:left="1418" w:header="708" w:footer="709" w:gutter="0"/>
          <w:cols w:space="708"/>
          <w:docGrid w:linePitch="360"/>
        </w:sectPr>
      </w:pPr>
      <w:r w:rsidRPr="0017373C" w:rsidDel="00546D57">
        <w:rPr>
          <w:rFonts w:cs="Calibri"/>
          <w:bCs/>
          <w:color w:val="000000"/>
          <w:sz w:val="20"/>
          <w:szCs w:val="20"/>
          <w:lang w:eastAsia="pl-PL"/>
        </w:rPr>
        <w:t xml:space="preserve"> </w:t>
      </w:r>
    </w:p>
    <w:p w:rsidR="00560461" w:rsidRPr="0017373C" w:rsidRDefault="00560461" w:rsidP="00560461">
      <w:pPr>
        <w:numPr>
          <w:ilvl w:val="0"/>
          <w:numId w:val="21"/>
        </w:numPr>
        <w:spacing w:before="120" w:after="120"/>
        <w:contextualSpacing/>
        <w:jc w:val="both"/>
        <w:rPr>
          <w:rFonts w:cs="Calibri"/>
          <w:sz w:val="20"/>
          <w:szCs w:val="20"/>
        </w:rPr>
      </w:pPr>
      <w:r w:rsidRPr="0017373C">
        <w:rPr>
          <w:b/>
        </w:rPr>
        <w:lastRenderedPageBreak/>
        <w:t xml:space="preserve">Informacje dotyczące ustanowienia ram wykonania: </w:t>
      </w:r>
      <w:r w:rsidRPr="0017373C">
        <w:rPr>
          <w:rFonts w:cs="Calibri"/>
          <w:sz w:val="20"/>
          <w:szCs w:val="20"/>
        </w:rPr>
        <w:t xml:space="preserve">dane historyczne lub innego rodzaju dowody wykorzystywane do szacowania wartości celów pośrednich i końcowych oraz metody ich obliczania, takie jak na przykład dane dotyczące kosztów jednostkowych, kryteria referencyjne (benchmarki), zwykłe lub obserwowane w przeszłości tempo wdrażania, opinie ekspertów i wnioski z ewaluacji </w:t>
      </w:r>
      <w:r w:rsidRPr="0017373C">
        <w:rPr>
          <w:rFonts w:cs="Calibri"/>
          <w:i/>
          <w:sz w:val="20"/>
          <w:szCs w:val="20"/>
        </w:rPr>
        <w:t xml:space="preserve">ex </w:t>
      </w:r>
      <w:proofErr w:type="spellStart"/>
      <w:r w:rsidRPr="0017373C">
        <w:rPr>
          <w:rFonts w:cs="Calibri"/>
          <w:i/>
          <w:sz w:val="20"/>
          <w:szCs w:val="20"/>
        </w:rPr>
        <w:t>ante</w:t>
      </w:r>
      <w:proofErr w:type="spellEnd"/>
      <w:r w:rsidRPr="0017373C">
        <w:rPr>
          <w:rFonts w:cs="Calibri"/>
          <w:sz w:val="20"/>
          <w:szCs w:val="20"/>
        </w:rPr>
        <w:t>:</w:t>
      </w:r>
    </w:p>
    <w:tbl>
      <w:tblPr>
        <w:tblW w:w="0" w:type="auto"/>
        <w:tblInd w:w="-5" w:type="dxa"/>
        <w:tblLook w:val="0000" w:firstRow="0" w:lastRow="0" w:firstColumn="0" w:lastColumn="0" w:noHBand="0" w:noVBand="0"/>
      </w:tblPr>
      <w:tblGrid>
        <w:gridCol w:w="9222"/>
      </w:tblGrid>
      <w:tr w:rsidR="00560461" w:rsidRPr="0017373C" w:rsidTr="0000467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autoSpaceDE w:val="0"/>
              <w:spacing w:after="0" w:line="360" w:lineRule="auto"/>
              <w:jc w:val="both"/>
              <w:rPr>
                <w:rFonts w:cs="Calibri"/>
                <w:bCs/>
                <w:sz w:val="20"/>
                <w:szCs w:val="20"/>
                <w:u w:val="single"/>
                <w:lang w:eastAsia="ar-SA"/>
              </w:rPr>
            </w:pPr>
            <w:r w:rsidRPr="0017373C">
              <w:rPr>
                <w:rFonts w:cs="Calibri"/>
                <w:bCs/>
                <w:sz w:val="20"/>
                <w:szCs w:val="20"/>
                <w:u w:val="single"/>
                <w:lang w:eastAsia="ar-SA"/>
              </w:rPr>
              <w:t>Definicja wskaźnika:</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 xml:space="preserve">Wskaźnik </w:t>
            </w:r>
            <w:r w:rsidRPr="0017373C">
              <w:rPr>
                <w:rFonts w:cs="Calibri"/>
                <w:i/>
                <w:sz w:val="20"/>
                <w:szCs w:val="20"/>
                <w:lang w:eastAsia="ar-SA"/>
              </w:rPr>
              <w:t>Liczba osób objętych działaniami szkoleniowymi w zakresie korzystania z Internetu (w tym e-usług</w:t>
            </w:r>
            <w:r w:rsidRPr="0017373C">
              <w:rPr>
                <w:rFonts w:cs="Calibri"/>
                <w:i/>
                <w:sz w:val="16"/>
                <w:szCs w:val="12"/>
                <w:lang w:eastAsia="ar-SA"/>
              </w:rPr>
              <w:t>)</w:t>
            </w:r>
            <w:r w:rsidRPr="0017373C">
              <w:rPr>
                <w:rFonts w:cs="Calibri"/>
                <w:sz w:val="16"/>
                <w:szCs w:val="12"/>
                <w:lang w:eastAsia="ar-SA"/>
              </w:rPr>
              <w:t xml:space="preserve"> </w:t>
            </w:r>
            <w:r w:rsidRPr="0017373C">
              <w:rPr>
                <w:rFonts w:cs="Calibri"/>
                <w:sz w:val="20"/>
                <w:szCs w:val="20"/>
                <w:lang w:eastAsia="ar-SA"/>
              </w:rPr>
              <w:t xml:space="preserve">mierzy liczbę osób objętych szkoleniami w zakresie nabywania / doskonalenia umiejętności warunkujących efektywne korzystanie z </w:t>
            </w:r>
            <w:proofErr w:type="spellStart"/>
            <w:r w:rsidRPr="0017373C">
              <w:rPr>
                <w:rFonts w:cs="Calibri"/>
                <w:sz w:val="20"/>
                <w:szCs w:val="20"/>
                <w:lang w:eastAsia="ar-SA"/>
              </w:rPr>
              <w:t>internetu</w:t>
            </w:r>
            <w:proofErr w:type="spellEnd"/>
            <w:r w:rsidRPr="0017373C">
              <w:rPr>
                <w:rFonts w:cs="Calibri"/>
                <w:sz w:val="20"/>
                <w:szCs w:val="20"/>
                <w:lang w:eastAsia="ar-SA"/>
              </w:rPr>
              <w:t xml:space="preserve"> w tym szczególnie z e-usług publicznych m.in. poprzez. korzystanie z komputera, różnych rodzajów oprogramowania oraz kompetencji ściśle informatycznych</w:t>
            </w:r>
            <w:r>
              <w:rPr>
                <w:rFonts w:cs="Calibri"/>
                <w:sz w:val="20"/>
                <w:szCs w:val="20"/>
                <w:lang w:eastAsia="ar-SA"/>
              </w:rPr>
              <w:t>, w tym także w zakresie programowania</w:t>
            </w:r>
            <w:r w:rsidRPr="0017373C">
              <w:rPr>
                <w:rFonts w:cs="Calibri"/>
                <w:sz w:val="20"/>
                <w:szCs w:val="20"/>
                <w:lang w:eastAsia="ar-SA"/>
              </w:rPr>
              <w:t xml:space="preserve">. </w:t>
            </w:r>
          </w:p>
          <w:p w:rsidR="00560461" w:rsidRPr="0017373C" w:rsidRDefault="00560461" w:rsidP="00004677">
            <w:pPr>
              <w:tabs>
                <w:tab w:val="left" w:pos="709"/>
              </w:tabs>
              <w:suppressAutoHyphens/>
              <w:spacing w:before="120" w:after="120" w:line="240" w:lineRule="auto"/>
              <w:ind w:left="142"/>
              <w:jc w:val="both"/>
              <w:rPr>
                <w:rFonts w:cs="Calibri"/>
                <w:bCs/>
                <w:sz w:val="20"/>
                <w:szCs w:val="20"/>
                <w:u w:val="single"/>
                <w:lang w:eastAsia="ar-SA"/>
              </w:rPr>
            </w:pPr>
            <w:r w:rsidRPr="0017373C">
              <w:rPr>
                <w:rFonts w:cs="Calibri"/>
                <w:sz w:val="20"/>
                <w:szCs w:val="20"/>
                <w:lang w:eastAsia="ar-SA"/>
              </w:rPr>
              <w:t xml:space="preserve">Mając na uwadze charakter oraz specyfikę planowanego wsparcia (przede wszystkim działania tzw. miękkie tj. szkoleniowe) przy szacowaniu i mierzeniu przedmiotowego wskaźnika należy odnieść się do doświadczeń płynących z wdrażania tego typu projektów ze środków EFS. Zgodnie z wytycznymi KE dotyczącymi realizacji projektów z EFS w ramach ww. wskaźnika należy liczyć w obrębie działania / działań – </w:t>
            </w:r>
            <w:proofErr w:type="spellStart"/>
            <w:r w:rsidRPr="0017373C">
              <w:rPr>
                <w:rFonts w:cs="Calibri"/>
                <w:sz w:val="20"/>
                <w:szCs w:val="20"/>
                <w:lang w:eastAsia="ar-SA"/>
              </w:rPr>
              <w:t>osoboszkolenia</w:t>
            </w:r>
            <w:proofErr w:type="spellEnd"/>
            <w:r w:rsidRPr="0017373C">
              <w:rPr>
                <w:rFonts w:cs="Calibri"/>
                <w:sz w:val="20"/>
                <w:szCs w:val="20"/>
                <w:lang w:eastAsia="ar-SA"/>
              </w:rPr>
              <w:t xml:space="preserve"> (może się zdarzyć sytuacja, w której dana osoba będzie brała udział w kilku szkoleniach – wówczas będzie liczona kilka razy). Natomiast w obrębie jednego projektu, niezależnie ile części (modułów) projekt posiada, dana osoba, która bierze udział zawsze jest liczona jeden raz. </w:t>
            </w:r>
          </w:p>
          <w:p w:rsidR="00560461" w:rsidRPr="0017373C" w:rsidRDefault="00560461" w:rsidP="00004677">
            <w:pPr>
              <w:suppressAutoHyphens/>
              <w:autoSpaceDE w:val="0"/>
              <w:spacing w:before="120" w:after="120" w:line="240" w:lineRule="auto"/>
              <w:jc w:val="both"/>
              <w:rPr>
                <w:rFonts w:cs="Calibri"/>
                <w:bCs/>
                <w:sz w:val="20"/>
                <w:szCs w:val="20"/>
                <w:u w:val="single"/>
                <w:lang w:eastAsia="ar-SA"/>
              </w:rPr>
            </w:pPr>
            <w:r w:rsidRPr="0017373C">
              <w:rPr>
                <w:rFonts w:cs="Calibri"/>
                <w:bCs/>
                <w:sz w:val="20"/>
                <w:szCs w:val="20"/>
                <w:u w:val="single"/>
                <w:lang w:eastAsia="ar-SA"/>
              </w:rPr>
              <w:t>Metodologia wskaźnika:</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 xml:space="preserve">Przy szacowaniu wartości docelowych wskaźnika </w:t>
            </w:r>
            <w:r w:rsidRPr="0017373C">
              <w:rPr>
                <w:rFonts w:cs="Calibri"/>
                <w:i/>
                <w:sz w:val="20"/>
                <w:szCs w:val="20"/>
                <w:lang w:eastAsia="ar-SA"/>
              </w:rPr>
              <w:t xml:space="preserve">Liczba osób objętych działaniami szkoleniowymi w zakresie korzystania z Internetu (w tym e-usług), </w:t>
            </w:r>
            <w:r w:rsidRPr="0017373C">
              <w:rPr>
                <w:rFonts w:cs="Calibri"/>
                <w:b/>
                <w:sz w:val="20"/>
                <w:szCs w:val="20"/>
                <w:lang w:eastAsia="ar-SA"/>
              </w:rPr>
              <w:t xml:space="preserve">realizowanego w ramach działania 3.1 </w:t>
            </w:r>
            <w:r>
              <w:rPr>
                <w:rFonts w:cs="Calibri"/>
                <w:b/>
                <w:sz w:val="20"/>
                <w:szCs w:val="20"/>
                <w:lang w:eastAsia="ar-SA"/>
              </w:rPr>
              <w:t xml:space="preserve">oraz 3.2 </w:t>
            </w:r>
            <w:r w:rsidRPr="0017373C">
              <w:rPr>
                <w:rFonts w:cs="Calibri"/>
                <w:b/>
                <w:sz w:val="20"/>
                <w:szCs w:val="20"/>
                <w:lang w:eastAsia="ar-SA"/>
              </w:rPr>
              <w:t xml:space="preserve">POPC, </w:t>
            </w:r>
            <w:r w:rsidRPr="0017373C">
              <w:rPr>
                <w:rFonts w:cs="Calibri"/>
                <w:sz w:val="20"/>
                <w:szCs w:val="20"/>
                <w:lang w:eastAsia="ar-SA"/>
              </w:rPr>
              <w:t>zostały wzięte pod uwagę przede wszystkim dane historyczne, w tym koszty jednostkowe. Wpływ na wybór wskaźników i  ich szacunki miały również dostępne ekspertyzy</w:t>
            </w:r>
            <w:r w:rsidRPr="0017373C">
              <w:rPr>
                <w:rFonts w:cs="Calibri"/>
                <w:sz w:val="20"/>
                <w:szCs w:val="20"/>
                <w:vertAlign w:val="superscript"/>
                <w:lang w:eastAsia="ar-SA"/>
              </w:rPr>
              <w:footnoteReference w:id="20"/>
            </w:r>
            <w:r w:rsidRPr="0017373C">
              <w:rPr>
                <w:rFonts w:cs="Calibri"/>
                <w:sz w:val="20"/>
                <w:szCs w:val="20"/>
                <w:lang w:eastAsia="ar-SA"/>
              </w:rPr>
              <w:t xml:space="preserve"> i opracowania dotyczące obecnej sytuacji oraz trendów </w:t>
            </w:r>
            <w:proofErr w:type="spellStart"/>
            <w:r w:rsidRPr="0017373C">
              <w:rPr>
                <w:rFonts w:cs="Calibri"/>
                <w:sz w:val="20"/>
                <w:szCs w:val="20"/>
                <w:lang w:eastAsia="ar-SA"/>
              </w:rPr>
              <w:t>społeczno</w:t>
            </w:r>
            <w:proofErr w:type="spellEnd"/>
            <w:r w:rsidRPr="0017373C">
              <w:rPr>
                <w:rFonts w:cs="Calibri"/>
                <w:sz w:val="20"/>
                <w:szCs w:val="20"/>
                <w:lang w:eastAsia="ar-SA"/>
              </w:rPr>
              <w:t xml:space="preserve"> – gospodarczych w zakresie społeczeństwa informacyjnego</w:t>
            </w:r>
            <w:r w:rsidRPr="0017373C">
              <w:rPr>
                <w:rFonts w:cs="Calibri"/>
                <w:sz w:val="20"/>
                <w:szCs w:val="20"/>
                <w:vertAlign w:val="superscript"/>
                <w:lang w:eastAsia="ar-SA"/>
              </w:rPr>
              <w:footnoteReference w:id="21"/>
            </w:r>
            <w:r w:rsidRPr="0017373C">
              <w:rPr>
                <w:rFonts w:cs="Calibri"/>
                <w:sz w:val="20"/>
                <w:szCs w:val="20"/>
                <w:lang w:eastAsia="ar-SA"/>
              </w:rPr>
              <w:t xml:space="preserve">. </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 xml:space="preserve">Instytucja Zarządzająca będzie na bieżąco monitorować realizację wartości wskaźnika dla ram wykonania i na bieżąco reagować na zjawiska, które mogą mieć wpływ na realizację założonych wartości. </w:t>
            </w:r>
          </w:p>
          <w:p w:rsidR="00560461" w:rsidRPr="0017373C" w:rsidRDefault="00560461" w:rsidP="00004677">
            <w:pPr>
              <w:tabs>
                <w:tab w:val="left" w:pos="709"/>
              </w:tabs>
              <w:suppressAutoHyphens/>
              <w:spacing w:before="120" w:after="120" w:line="240" w:lineRule="auto"/>
              <w:ind w:left="142"/>
              <w:jc w:val="both"/>
              <w:rPr>
                <w:rFonts w:cs="Calibri"/>
                <w:b/>
                <w:i/>
                <w:sz w:val="16"/>
                <w:szCs w:val="12"/>
                <w:lang w:eastAsia="ar-SA"/>
              </w:rPr>
            </w:pPr>
            <w:r w:rsidRPr="0017373C">
              <w:rPr>
                <w:rFonts w:cs="Calibri"/>
                <w:sz w:val="20"/>
                <w:szCs w:val="20"/>
                <w:lang w:eastAsia="ar-SA"/>
              </w:rPr>
              <w:t>Przyjmując, że w ramach działa</w:t>
            </w:r>
            <w:r>
              <w:rPr>
                <w:rFonts w:cs="Calibri"/>
                <w:sz w:val="20"/>
                <w:szCs w:val="20"/>
                <w:lang w:eastAsia="ar-SA"/>
              </w:rPr>
              <w:t>ń</w:t>
            </w:r>
            <w:r w:rsidRPr="0017373C">
              <w:rPr>
                <w:rFonts w:cs="Calibri"/>
                <w:sz w:val="20"/>
                <w:szCs w:val="20"/>
                <w:lang w:eastAsia="ar-SA"/>
              </w:rPr>
              <w:t xml:space="preserve"> 3.1 </w:t>
            </w:r>
            <w:r>
              <w:rPr>
                <w:rFonts w:cs="Calibri"/>
                <w:sz w:val="20"/>
                <w:szCs w:val="20"/>
                <w:lang w:eastAsia="ar-SA"/>
              </w:rPr>
              <w:t xml:space="preserve">i 3.2 </w:t>
            </w:r>
            <w:r w:rsidRPr="0017373C">
              <w:rPr>
                <w:rFonts w:cs="Calibri"/>
                <w:sz w:val="20"/>
                <w:szCs w:val="20"/>
                <w:lang w:eastAsia="ar-SA"/>
              </w:rPr>
              <w:t xml:space="preserve">POPC będą realizowane wystandaryzowane działania szkoleniowe w zakresie korzystania z </w:t>
            </w:r>
            <w:proofErr w:type="spellStart"/>
            <w:r w:rsidRPr="0017373C">
              <w:rPr>
                <w:rFonts w:cs="Calibri"/>
                <w:sz w:val="20"/>
                <w:szCs w:val="20"/>
                <w:lang w:eastAsia="ar-SA"/>
              </w:rPr>
              <w:t>internetu</w:t>
            </w:r>
            <w:proofErr w:type="spellEnd"/>
            <w:r w:rsidRPr="0017373C">
              <w:rPr>
                <w:rFonts w:cs="Calibri"/>
                <w:sz w:val="20"/>
                <w:szCs w:val="20"/>
                <w:lang w:eastAsia="ar-SA"/>
              </w:rPr>
              <w:t>, w tym z e-usług i obsługi komputera</w:t>
            </w:r>
            <w:r>
              <w:rPr>
                <w:rFonts w:cs="Calibri"/>
                <w:sz w:val="20"/>
                <w:szCs w:val="20"/>
                <w:lang w:eastAsia="ar-SA"/>
              </w:rPr>
              <w:t>,</w:t>
            </w:r>
            <w:r w:rsidRPr="0017373C">
              <w:rPr>
                <w:rFonts w:cs="Calibri"/>
                <w:sz w:val="20"/>
                <w:szCs w:val="20"/>
                <w:lang w:eastAsia="ar-SA"/>
              </w:rPr>
              <w:t xml:space="preserve"> poniżej przyjmujemy następujące założenia do oszacowania wartości pośredniej i docelowej przedmiotowego wskaźnika.</w:t>
            </w:r>
          </w:p>
          <w:p w:rsidR="00560461" w:rsidRPr="0017373C" w:rsidRDefault="00560461" w:rsidP="00004677">
            <w:pPr>
              <w:tabs>
                <w:tab w:val="left" w:pos="709"/>
              </w:tabs>
              <w:suppressAutoHyphens/>
              <w:spacing w:before="120" w:after="120" w:line="240" w:lineRule="auto"/>
              <w:ind w:left="142"/>
              <w:jc w:val="both"/>
              <w:rPr>
                <w:rFonts w:cs="Calibri"/>
                <w:b/>
                <w:sz w:val="20"/>
                <w:szCs w:val="20"/>
                <w:u w:val="single"/>
                <w:lang w:eastAsia="ar-SA"/>
              </w:rPr>
            </w:pPr>
            <w:r w:rsidRPr="0017373C">
              <w:rPr>
                <w:rFonts w:cs="Calibri"/>
                <w:b/>
                <w:sz w:val="20"/>
                <w:szCs w:val="20"/>
                <w:u w:val="single"/>
                <w:lang w:eastAsia="ar-SA"/>
              </w:rPr>
              <w:t>Założenia</w:t>
            </w:r>
          </w:p>
          <w:p w:rsidR="00560461" w:rsidRPr="0017373C" w:rsidRDefault="00560461" w:rsidP="00560461">
            <w:pPr>
              <w:numPr>
                <w:ilvl w:val="0"/>
                <w:numId w:val="25"/>
              </w:numPr>
              <w:suppressAutoHyphens/>
              <w:spacing w:before="120" w:after="120" w:line="240" w:lineRule="auto"/>
              <w:jc w:val="both"/>
              <w:rPr>
                <w:rFonts w:cs="Calibri"/>
                <w:b/>
                <w:sz w:val="20"/>
                <w:szCs w:val="20"/>
                <w:lang w:eastAsia="ar-SA"/>
              </w:rPr>
            </w:pPr>
            <w:r w:rsidRPr="0017373C">
              <w:rPr>
                <w:rFonts w:cs="Calibri"/>
                <w:b/>
                <w:sz w:val="20"/>
                <w:szCs w:val="20"/>
                <w:lang w:eastAsia="ar-SA"/>
              </w:rPr>
              <w:t>Dostępna alokacja</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Dostępną alokację wyrażoną w euro w cenach bieżących przeliczono na ceny stałe</w:t>
            </w:r>
            <w:r w:rsidRPr="0017373C">
              <w:rPr>
                <w:rFonts w:cs="Calibri"/>
                <w:sz w:val="20"/>
                <w:szCs w:val="20"/>
                <w:vertAlign w:val="superscript"/>
                <w:lang w:eastAsia="ar-SA"/>
              </w:rPr>
              <w:footnoteReference w:id="22"/>
            </w:r>
            <w:r w:rsidRPr="0017373C">
              <w:rPr>
                <w:rFonts w:cs="Calibri"/>
                <w:sz w:val="20"/>
                <w:szCs w:val="20"/>
                <w:lang w:eastAsia="ar-SA"/>
              </w:rPr>
              <w:t xml:space="preserve"> z 2014 r. w złotych. Do przeliczania wartości finansowych na PLN wykorzystano ustalony horyzontalnie kurs (bazując na estymacjach Ministerstwa Finansów) na poziomie 3,55 PLN/EUR.</w:t>
            </w:r>
            <w:r w:rsidRPr="0017373C">
              <w:rPr>
                <w:rFonts w:cs="Calibri"/>
                <w:sz w:val="20"/>
                <w:szCs w:val="20"/>
                <w:vertAlign w:val="superscript"/>
                <w:lang w:eastAsia="ar-SA"/>
              </w:rPr>
              <w:footnoteReference w:id="23"/>
            </w:r>
            <w:r w:rsidRPr="0017373C">
              <w:rPr>
                <w:rFonts w:cs="Calibri"/>
                <w:sz w:val="20"/>
                <w:szCs w:val="20"/>
                <w:lang w:eastAsia="ar-SA"/>
              </w:rPr>
              <w:t xml:space="preserve"> </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W ramach podziału na region lepiej rozwinięty oraz regiony słabiej rozwinięte, ze względu na charakter 3 osi typu pro rata regionowi mazowieckiemu zostało przypisane 7% alokacji tej osi</w:t>
            </w:r>
          </w:p>
          <w:p w:rsidR="00560461" w:rsidRPr="0017373C" w:rsidRDefault="00560461" w:rsidP="00004677">
            <w:pPr>
              <w:suppressAutoHyphens/>
              <w:spacing w:before="120" w:after="120" w:line="240" w:lineRule="auto"/>
              <w:ind w:left="142"/>
              <w:jc w:val="both"/>
              <w:rPr>
                <w:rFonts w:cs="Calibri"/>
                <w:b/>
                <w:bCs/>
                <w:color w:val="1F497D"/>
                <w:sz w:val="20"/>
                <w:szCs w:val="20"/>
                <w:lang w:eastAsia="ar-SA"/>
              </w:rPr>
            </w:pPr>
            <w:r w:rsidRPr="0017373C">
              <w:rPr>
                <w:rFonts w:cs="Calibri"/>
                <w:spacing w:val="-2"/>
                <w:sz w:val="20"/>
                <w:szCs w:val="20"/>
                <w:lang w:eastAsia="ar-SA"/>
              </w:rPr>
              <w:t xml:space="preserve">Na </w:t>
            </w:r>
            <w:r w:rsidRPr="0017373C">
              <w:rPr>
                <w:rFonts w:cs="Calibri"/>
                <w:sz w:val="20"/>
                <w:szCs w:val="20"/>
                <w:lang w:eastAsia="ar-SA"/>
              </w:rPr>
              <w:t>całkowitą alokację w podziale na regiony ma wpływ wkład krajowy różny w zależności od kategorii regionów. Dla regionu lepiej rozwiniętego, czyli dla województwa mazowieckiego wkład krajowy wynosi 20% całości środków (</w:t>
            </w:r>
            <w:proofErr w:type="spellStart"/>
            <w:r w:rsidRPr="0017373C">
              <w:rPr>
                <w:rFonts w:cs="Calibri"/>
                <w:sz w:val="20"/>
                <w:szCs w:val="20"/>
                <w:lang w:eastAsia="ar-SA"/>
              </w:rPr>
              <w:t>UE+krajowe</w:t>
            </w:r>
            <w:proofErr w:type="spellEnd"/>
            <w:r w:rsidRPr="0017373C">
              <w:rPr>
                <w:rFonts w:cs="Calibri"/>
                <w:sz w:val="20"/>
                <w:szCs w:val="20"/>
                <w:lang w:eastAsia="ar-SA"/>
              </w:rPr>
              <w:t>) przeznaczonych na region. Natomiast dla regionów słabiej rozwiniętych wkład ten wynosi 15%. Wyżej opisany podział alokacji przedstawia tabela.</w:t>
            </w:r>
          </w:p>
          <w:p w:rsidR="00560461" w:rsidRPr="0017373C" w:rsidRDefault="00560461" w:rsidP="00004677">
            <w:pPr>
              <w:keepNext/>
              <w:suppressAutoHyphens/>
              <w:spacing w:after="0" w:line="240" w:lineRule="auto"/>
              <w:rPr>
                <w:rFonts w:cs="Calibri"/>
                <w:b/>
                <w:bCs/>
                <w:color w:val="1F497D"/>
                <w:sz w:val="20"/>
                <w:szCs w:val="20"/>
                <w:lang w:eastAsia="ar-SA"/>
              </w:rPr>
            </w:pPr>
            <w:bookmarkStart w:id="20" w:name="_Toc401826766"/>
            <w:r w:rsidRPr="0017373C">
              <w:rPr>
                <w:rFonts w:cs="Calibri"/>
                <w:b/>
                <w:bCs/>
                <w:color w:val="1F497D"/>
                <w:sz w:val="20"/>
                <w:szCs w:val="20"/>
                <w:lang w:eastAsia="ar-SA"/>
              </w:rPr>
              <w:lastRenderedPageBreak/>
              <w:t xml:space="preserve">Tabela </w:t>
            </w:r>
            <w:r w:rsidR="00544B8B">
              <w:rPr>
                <w:rFonts w:cs="Calibri"/>
                <w:b/>
                <w:bCs/>
                <w:color w:val="1F497D"/>
                <w:sz w:val="20"/>
                <w:szCs w:val="20"/>
                <w:lang w:eastAsia="ar-SA"/>
              </w:rPr>
              <w:t>13</w:t>
            </w:r>
            <w:r w:rsidRPr="0017373C">
              <w:rPr>
                <w:rFonts w:cs="Calibri"/>
                <w:b/>
                <w:bCs/>
                <w:color w:val="1F497D"/>
                <w:sz w:val="20"/>
                <w:szCs w:val="20"/>
                <w:lang w:eastAsia="ar-SA"/>
              </w:rPr>
              <w:t xml:space="preserve"> - Alokacja w ramach działania 3.1</w:t>
            </w:r>
            <w:bookmarkEnd w:id="20"/>
            <w:r>
              <w:rPr>
                <w:rFonts w:cs="Calibri"/>
                <w:b/>
                <w:bCs/>
                <w:color w:val="1F497D"/>
                <w:sz w:val="20"/>
                <w:szCs w:val="20"/>
                <w:lang w:eastAsia="ar-SA"/>
              </w:rPr>
              <w:t xml:space="preserve"> oraz 3.2 POPC</w:t>
            </w:r>
          </w:p>
          <w:tbl>
            <w:tblPr>
              <w:tblW w:w="0" w:type="auto"/>
              <w:tblCellMar>
                <w:left w:w="70" w:type="dxa"/>
                <w:right w:w="70" w:type="dxa"/>
              </w:tblCellMar>
              <w:tblLook w:val="04A0" w:firstRow="1" w:lastRow="0" w:firstColumn="1" w:lastColumn="0" w:noHBand="0" w:noVBand="1"/>
            </w:tblPr>
            <w:tblGrid>
              <w:gridCol w:w="342"/>
              <w:gridCol w:w="3642"/>
              <w:gridCol w:w="1276"/>
              <w:gridCol w:w="1701"/>
              <w:gridCol w:w="1559"/>
            </w:tblGrid>
            <w:tr w:rsidR="00560461" w:rsidRPr="00A65DDB" w:rsidTr="00004677">
              <w:trPr>
                <w:trHeight w:val="300"/>
              </w:trPr>
              <w:tc>
                <w:tcPr>
                  <w:tcW w:w="8520" w:type="dxa"/>
                  <w:gridSpan w:val="5"/>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Działanie 3.1</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rPr>
                      <w:rFonts w:eastAsia="Times New Roman" w:cs="Calibri"/>
                      <w:color w:val="000000"/>
                      <w:sz w:val="20"/>
                      <w:szCs w:val="20"/>
                      <w:lang w:eastAsia="pl-PL"/>
                    </w:rPr>
                  </w:pPr>
                  <w:r w:rsidRPr="00A65DDB">
                    <w:rPr>
                      <w:rFonts w:eastAsia="Times New Roman" w:cs="Calibri"/>
                      <w:color w:val="000000"/>
                      <w:sz w:val="20"/>
                      <w:szCs w:val="20"/>
                      <w:lang w:eastAsia="pl-PL"/>
                    </w:rPr>
                    <w:t>lp.</w:t>
                  </w:r>
                </w:p>
              </w:tc>
              <w:tc>
                <w:tcPr>
                  <w:tcW w:w="3642" w:type="dxa"/>
                  <w:tcBorders>
                    <w:top w:val="single" w:sz="4" w:space="0" w:color="auto"/>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wykorzystane założenia</w:t>
                  </w:r>
                </w:p>
              </w:tc>
              <w:tc>
                <w:tcPr>
                  <w:tcW w:w="1276" w:type="dxa"/>
                  <w:tcBorders>
                    <w:top w:val="nil"/>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ŁĄCZNIE</w:t>
                  </w:r>
                </w:p>
              </w:tc>
              <w:tc>
                <w:tcPr>
                  <w:tcW w:w="1701" w:type="dxa"/>
                  <w:tcBorders>
                    <w:top w:val="nil"/>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Regiony słabiej rozwinięte</w:t>
                  </w:r>
                </w:p>
              </w:tc>
              <w:tc>
                <w:tcPr>
                  <w:tcW w:w="1559" w:type="dxa"/>
                  <w:tcBorders>
                    <w:top w:val="nil"/>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region lepiej rozwinięty</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1</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ALOKACJA w EURO (EFRR)</w:t>
                  </w:r>
                </w:p>
              </w:tc>
              <w:tc>
                <w:tcPr>
                  <w:tcW w:w="1276"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85 000 000,00</w:t>
                  </w:r>
                </w:p>
              </w:tc>
              <w:tc>
                <w:tcPr>
                  <w:tcW w:w="1701"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79 050 000,00</w:t>
                  </w:r>
                </w:p>
              </w:tc>
              <w:tc>
                <w:tcPr>
                  <w:tcW w:w="1559"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5 950 000,00</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2</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wyrażanie dostępnej alokacji w cenach stałych z 2014 r. w PLN</w:t>
                  </w:r>
                </w:p>
              </w:tc>
              <w:tc>
                <w:tcPr>
                  <w:tcW w:w="1276"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264 991 505,46</w:t>
                  </w:r>
                </w:p>
              </w:tc>
              <w:tc>
                <w:tcPr>
                  <w:tcW w:w="1701"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246 442 100,08</w:t>
                  </w:r>
                </w:p>
              </w:tc>
              <w:tc>
                <w:tcPr>
                  <w:tcW w:w="1559"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18 549 405,38</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3</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przyjęty kurs euro w PLN</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center"/>
                    <w:rPr>
                      <w:rFonts w:eastAsia="Times New Roman" w:cs="Calibri"/>
                      <w:color w:val="000000"/>
                      <w:sz w:val="18"/>
                      <w:szCs w:val="20"/>
                      <w:lang w:eastAsia="pl-PL"/>
                    </w:rPr>
                  </w:pPr>
                  <w:r w:rsidRPr="00A65DDB">
                    <w:rPr>
                      <w:rFonts w:eastAsia="Times New Roman" w:cs="Calibri"/>
                      <w:color w:val="000000"/>
                      <w:sz w:val="18"/>
                      <w:szCs w:val="20"/>
                      <w:lang w:eastAsia="pl-PL"/>
                    </w:rPr>
                    <w:t>3,55</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4</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ALOKACJA w PLN (</w:t>
                  </w:r>
                  <w:proofErr w:type="spellStart"/>
                  <w:r w:rsidRPr="00A65DDB">
                    <w:rPr>
                      <w:rFonts w:eastAsia="Times New Roman" w:cs="Calibri"/>
                      <w:color w:val="000000"/>
                      <w:sz w:val="18"/>
                      <w:szCs w:val="20"/>
                      <w:lang w:eastAsia="pl-PL"/>
                    </w:rPr>
                    <w:t>EFRR+krajowe</w:t>
                  </w:r>
                  <w:proofErr w:type="spellEnd"/>
                  <w:r w:rsidRPr="00A65DDB">
                    <w:rPr>
                      <w:rFonts w:eastAsia="Times New Roman" w:cs="Calibri"/>
                      <w:color w:val="000000"/>
                      <w:sz w:val="18"/>
                      <w:szCs w:val="20"/>
                      <w:lang w:eastAsia="pl-PL"/>
                    </w:rPr>
                    <w:t>)</w:t>
                  </w:r>
                </w:p>
              </w:tc>
              <w:tc>
                <w:tcPr>
                  <w:tcW w:w="1276"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313 118 639,17</w:t>
                  </w:r>
                </w:p>
              </w:tc>
              <w:tc>
                <w:tcPr>
                  <w:tcW w:w="1701"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289 931 882,45</w:t>
                  </w:r>
                </w:p>
              </w:tc>
              <w:tc>
                <w:tcPr>
                  <w:tcW w:w="1559"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23 186 756,73</w:t>
                  </w:r>
                </w:p>
              </w:tc>
            </w:tr>
            <w:tr w:rsidR="00560461" w:rsidRPr="00A65DDB" w:rsidTr="00004677">
              <w:trPr>
                <w:trHeight w:val="300"/>
              </w:trPr>
              <w:tc>
                <w:tcPr>
                  <w:tcW w:w="8520" w:type="dxa"/>
                  <w:gridSpan w:val="5"/>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Działanie 3.2</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rPr>
                      <w:rFonts w:eastAsia="Times New Roman" w:cs="Calibri"/>
                      <w:color w:val="000000"/>
                      <w:sz w:val="20"/>
                      <w:szCs w:val="20"/>
                      <w:lang w:eastAsia="pl-PL"/>
                    </w:rPr>
                  </w:pPr>
                  <w:r w:rsidRPr="00A65DDB">
                    <w:rPr>
                      <w:rFonts w:eastAsia="Times New Roman" w:cs="Calibri"/>
                      <w:color w:val="000000"/>
                      <w:sz w:val="20"/>
                      <w:szCs w:val="20"/>
                      <w:lang w:eastAsia="pl-PL"/>
                    </w:rPr>
                    <w:t>lp.</w:t>
                  </w:r>
                </w:p>
              </w:tc>
              <w:tc>
                <w:tcPr>
                  <w:tcW w:w="3642" w:type="dxa"/>
                  <w:tcBorders>
                    <w:top w:val="single" w:sz="4" w:space="0" w:color="auto"/>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wykorzystane założenia</w:t>
                  </w:r>
                </w:p>
              </w:tc>
              <w:tc>
                <w:tcPr>
                  <w:tcW w:w="1276" w:type="dxa"/>
                  <w:tcBorders>
                    <w:top w:val="nil"/>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ŁĄCZNIE</w:t>
                  </w:r>
                </w:p>
              </w:tc>
              <w:tc>
                <w:tcPr>
                  <w:tcW w:w="1701" w:type="dxa"/>
                  <w:tcBorders>
                    <w:top w:val="nil"/>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Regiony słabiej rozwinięte</w:t>
                  </w:r>
                </w:p>
              </w:tc>
              <w:tc>
                <w:tcPr>
                  <w:tcW w:w="1559" w:type="dxa"/>
                  <w:tcBorders>
                    <w:top w:val="nil"/>
                    <w:left w:val="nil"/>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center"/>
                    <w:rPr>
                      <w:rFonts w:eastAsia="Times New Roman" w:cs="Calibri"/>
                      <w:color w:val="000000"/>
                      <w:sz w:val="20"/>
                      <w:szCs w:val="20"/>
                      <w:lang w:eastAsia="pl-PL"/>
                    </w:rPr>
                  </w:pPr>
                  <w:r w:rsidRPr="00A65DDB">
                    <w:rPr>
                      <w:rFonts w:eastAsia="Times New Roman" w:cs="Calibri"/>
                      <w:color w:val="000000"/>
                      <w:sz w:val="20"/>
                      <w:szCs w:val="20"/>
                      <w:lang w:eastAsia="pl-PL"/>
                    </w:rPr>
                    <w:t>region lepiej rozwinięty</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1</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ALOKACJA w EURO (EFRR)</w:t>
                  </w:r>
                </w:p>
              </w:tc>
              <w:tc>
                <w:tcPr>
                  <w:tcW w:w="1276"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30 000 000,00</w:t>
                  </w:r>
                </w:p>
              </w:tc>
              <w:tc>
                <w:tcPr>
                  <w:tcW w:w="1701"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27 900 000,00</w:t>
                  </w:r>
                </w:p>
              </w:tc>
              <w:tc>
                <w:tcPr>
                  <w:tcW w:w="1559"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2 100 000,00</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2</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wyrażanie dostępnej alokacji w cenach stałych z 2014 r. w PLN</w:t>
                  </w:r>
                </w:p>
              </w:tc>
              <w:tc>
                <w:tcPr>
                  <w:tcW w:w="1276"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93 526 413,69</w:t>
                  </w:r>
                </w:p>
              </w:tc>
              <w:tc>
                <w:tcPr>
                  <w:tcW w:w="1701"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86 979 564,73</w:t>
                  </w:r>
                </w:p>
              </w:tc>
              <w:tc>
                <w:tcPr>
                  <w:tcW w:w="1559"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6 546 848,96</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3</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przyjęty kurs euro w PLN</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center"/>
                    <w:rPr>
                      <w:rFonts w:eastAsia="Times New Roman" w:cs="Calibri"/>
                      <w:color w:val="000000"/>
                      <w:sz w:val="18"/>
                      <w:szCs w:val="20"/>
                      <w:lang w:eastAsia="pl-PL"/>
                    </w:rPr>
                  </w:pPr>
                  <w:r w:rsidRPr="00A65DDB">
                    <w:rPr>
                      <w:rFonts w:eastAsia="Times New Roman" w:cs="Calibri"/>
                      <w:color w:val="000000"/>
                      <w:sz w:val="18"/>
                      <w:szCs w:val="20"/>
                      <w:lang w:eastAsia="pl-PL"/>
                    </w:rPr>
                    <w:t>3,55</w:t>
                  </w:r>
                </w:p>
              </w:tc>
            </w:tr>
            <w:tr w:rsidR="00560461" w:rsidRPr="00A65DDB" w:rsidTr="00004677">
              <w:trPr>
                <w:trHeight w:val="300"/>
              </w:trPr>
              <w:tc>
                <w:tcPr>
                  <w:tcW w:w="342" w:type="dxa"/>
                  <w:tcBorders>
                    <w:top w:val="nil"/>
                    <w:left w:val="single" w:sz="4" w:space="0" w:color="auto"/>
                    <w:bottom w:val="single" w:sz="4" w:space="0" w:color="auto"/>
                    <w:right w:val="single" w:sz="4" w:space="0" w:color="auto"/>
                  </w:tcBorders>
                  <w:shd w:val="clear" w:color="000000" w:fill="C5D9F1"/>
                  <w:noWrap/>
                  <w:vAlign w:val="bottom"/>
                  <w:hideMark/>
                </w:tcPr>
                <w:p w:rsidR="00560461" w:rsidRPr="00A65DDB" w:rsidRDefault="00560461" w:rsidP="00004677">
                  <w:pPr>
                    <w:spacing w:after="0" w:line="240" w:lineRule="auto"/>
                    <w:jc w:val="right"/>
                    <w:rPr>
                      <w:rFonts w:eastAsia="Times New Roman" w:cs="Calibri"/>
                      <w:color w:val="000000"/>
                      <w:sz w:val="20"/>
                      <w:szCs w:val="20"/>
                      <w:lang w:eastAsia="pl-PL"/>
                    </w:rPr>
                  </w:pPr>
                  <w:r w:rsidRPr="00A65DDB">
                    <w:rPr>
                      <w:rFonts w:eastAsia="Times New Roman" w:cs="Calibri"/>
                      <w:color w:val="000000"/>
                      <w:sz w:val="20"/>
                      <w:szCs w:val="20"/>
                      <w:lang w:eastAsia="pl-PL"/>
                    </w:rPr>
                    <w:t>4</w:t>
                  </w:r>
                </w:p>
              </w:tc>
              <w:tc>
                <w:tcPr>
                  <w:tcW w:w="3642" w:type="dxa"/>
                  <w:tcBorders>
                    <w:top w:val="single" w:sz="4" w:space="0" w:color="auto"/>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rPr>
                      <w:rFonts w:eastAsia="Times New Roman" w:cs="Calibri"/>
                      <w:color w:val="000000"/>
                      <w:sz w:val="18"/>
                      <w:szCs w:val="20"/>
                      <w:lang w:eastAsia="pl-PL"/>
                    </w:rPr>
                  </w:pPr>
                  <w:r w:rsidRPr="00A65DDB">
                    <w:rPr>
                      <w:rFonts w:eastAsia="Times New Roman" w:cs="Calibri"/>
                      <w:color w:val="000000"/>
                      <w:sz w:val="18"/>
                      <w:szCs w:val="20"/>
                      <w:lang w:eastAsia="pl-PL"/>
                    </w:rPr>
                    <w:t>ALOKACJA w PLN (</w:t>
                  </w:r>
                  <w:proofErr w:type="spellStart"/>
                  <w:r w:rsidRPr="00A65DDB">
                    <w:rPr>
                      <w:rFonts w:eastAsia="Times New Roman" w:cs="Calibri"/>
                      <w:color w:val="000000"/>
                      <w:sz w:val="18"/>
                      <w:szCs w:val="20"/>
                      <w:lang w:eastAsia="pl-PL"/>
                    </w:rPr>
                    <w:t>EFRR+krajowe</w:t>
                  </w:r>
                  <w:proofErr w:type="spellEnd"/>
                  <w:r w:rsidRPr="00A65DDB">
                    <w:rPr>
                      <w:rFonts w:eastAsia="Times New Roman" w:cs="Calibri"/>
                      <w:color w:val="000000"/>
                      <w:sz w:val="18"/>
                      <w:szCs w:val="20"/>
                      <w:lang w:eastAsia="pl-PL"/>
                    </w:rPr>
                    <w:t>)</w:t>
                  </w:r>
                </w:p>
              </w:tc>
              <w:tc>
                <w:tcPr>
                  <w:tcW w:w="1276"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110 512 460,88</w:t>
                  </w:r>
                </w:p>
              </w:tc>
              <w:tc>
                <w:tcPr>
                  <w:tcW w:w="1701"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102 328 899,68</w:t>
                  </w:r>
                </w:p>
              </w:tc>
              <w:tc>
                <w:tcPr>
                  <w:tcW w:w="1559" w:type="dxa"/>
                  <w:tcBorders>
                    <w:top w:val="nil"/>
                    <w:left w:val="nil"/>
                    <w:bottom w:val="single" w:sz="4" w:space="0" w:color="auto"/>
                    <w:right w:val="single" w:sz="4" w:space="0" w:color="auto"/>
                  </w:tcBorders>
                  <w:shd w:val="clear" w:color="auto" w:fill="auto"/>
                  <w:noWrap/>
                  <w:vAlign w:val="bottom"/>
                  <w:hideMark/>
                </w:tcPr>
                <w:p w:rsidR="00560461" w:rsidRPr="00A65DDB" w:rsidRDefault="00560461" w:rsidP="00004677">
                  <w:pPr>
                    <w:spacing w:after="0" w:line="240" w:lineRule="auto"/>
                    <w:jc w:val="right"/>
                    <w:rPr>
                      <w:rFonts w:eastAsia="Times New Roman" w:cs="Calibri"/>
                      <w:color w:val="000000"/>
                      <w:sz w:val="18"/>
                      <w:szCs w:val="20"/>
                      <w:lang w:eastAsia="pl-PL"/>
                    </w:rPr>
                  </w:pPr>
                  <w:r w:rsidRPr="00A65DDB">
                    <w:rPr>
                      <w:rFonts w:eastAsia="Times New Roman" w:cs="Calibri"/>
                      <w:color w:val="000000"/>
                      <w:sz w:val="18"/>
                      <w:szCs w:val="20"/>
                      <w:lang w:eastAsia="pl-PL"/>
                    </w:rPr>
                    <w:t>8 183 561,20</w:t>
                  </w:r>
                </w:p>
              </w:tc>
            </w:tr>
          </w:tbl>
          <w:p w:rsidR="00560461" w:rsidRPr="0017373C" w:rsidRDefault="00560461" w:rsidP="00004677">
            <w:pPr>
              <w:tabs>
                <w:tab w:val="left" w:pos="709"/>
              </w:tabs>
              <w:suppressAutoHyphens/>
              <w:spacing w:after="120"/>
              <w:ind w:left="142"/>
              <w:jc w:val="both"/>
              <w:rPr>
                <w:rFonts w:cs="Calibri"/>
                <w:sz w:val="20"/>
                <w:szCs w:val="20"/>
                <w:lang w:eastAsia="ar-SA"/>
              </w:rPr>
            </w:pPr>
          </w:p>
          <w:p w:rsidR="00560461" w:rsidRPr="0017373C" w:rsidRDefault="00560461" w:rsidP="00004677">
            <w:pPr>
              <w:tabs>
                <w:tab w:val="left" w:pos="709"/>
              </w:tabs>
              <w:suppressAutoHyphens/>
              <w:spacing w:after="120"/>
              <w:ind w:left="360"/>
              <w:jc w:val="both"/>
              <w:rPr>
                <w:rFonts w:cs="Calibri"/>
                <w:b/>
                <w:sz w:val="20"/>
                <w:szCs w:val="20"/>
                <w:lang w:eastAsia="ar-SA"/>
              </w:rPr>
            </w:pPr>
            <w:r w:rsidRPr="0017373C">
              <w:rPr>
                <w:rFonts w:cs="Calibri"/>
                <w:b/>
                <w:sz w:val="20"/>
                <w:szCs w:val="20"/>
                <w:lang w:eastAsia="ar-SA"/>
              </w:rPr>
              <w:t>2) Podział środków w ramach działania 3.1</w:t>
            </w:r>
            <w:r>
              <w:rPr>
                <w:rFonts w:cs="Calibri"/>
                <w:b/>
                <w:sz w:val="20"/>
                <w:szCs w:val="20"/>
                <w:lang w:eastAsia="ar-SA"/>
              </w:rPr>
              <w:t xml:space="preserve"> POPC</w:t>
            </w:r>
            <w:r w:rsidRPr="0017373C">
              <w:rPr>
                <w:rFonts w:cs="Calibri"/>
                <w:b/>
                <w:sz w:val="20"/>
                <w:szCs w:val="20"/>
                <w:lang w:eastAsia="ar-SA"/>
              </w:rPr>
              <w:t xml:space="preserve"> na różne kategorie budżetowe</w:t>
            </w:r>
          </w:p>
          <w:p w:rsidR="00560461" w:rsidRPr="0017373C" w:rsidRDefault="00560461" w:rsidP="00004677">
            <w:pPr>
              <w:tabs>
                <w:tab w:val="left" w:pos="709"/>
              </w:tabs>
              <w:suppressAutoHyphens/>
              <w:spacing w:before="120" w:after="120" w:line="240" w:lineRule="auto"/>
              <w:ind w:left="142"/>
              <w:jc w:val="both"/>
              <w:rPr>
                <w:rFonts w:cs="Calibri"/>
                <w:lang w:eastAsia="ar-SA"/>
              </w:rPr>
            </w:pPr>
            <w:r w:rsidRPr="0017373C">
              <w:rPr>
                <w:rFonts w:cs="Calibri"/>
                <w:sz w:val="20"/>
                <w:szCs w:val="20"/>
                <w:lang w:eastAsia="ar-SA"/>
              </w:rPr>
              <w:t>W celu określenia alokacji przeznaczonej bezpośrednio na szkolenia uczestników, dostępne środki, wyliczone powyżej, należy pomniejszyć o kwoty:</w:t>
            </w:r>
          </w:p>
          <w:p w:rsidR="00560461" w:rsidRPr="0017373C" w:rsidRDefault="00560461" w:rsidP="00560461">
            <w:pPr>
              <w:numPr>
                <w:ilvl w:val="0"/>
                <w:numId w:val="24"/>
              </w:numPr>
              <w:tabs>
                <w:tab w:val="clear" w:pos="720"/>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kosztów związanych z zarządzaniem projektem,</w:t>
            </w:r>
          </w:p>
          <w:p w:rsidR="00560461" w:rsidRPr="0017373C" w:rsidRDefault="00560461" w:rsidP="00560461">
            <w:pPr>
              <w:numPr>
                <w:ilvl w:val="0"/>
                <w:numId w:val="24"/>
              </w:numPr>
              <w:tabs>
                <w:tab w:val="clear" w:pos="720"/>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kosztów przeznaczonych na zakup sprzętu,</w:t>
            </w:r>
          </w:p>
          <w:p w:rsidR="00560461" w:rsidRPr="0017373C" w:rsidRDefault="00560461" w:rsidP="00560461">
            <w:pPr>
              <w:numPr>
                <w:ilvl w:val="0"/>
                <w:numId w:val="24"/>
              </w:numPr>
              <w:tabs>
                <w:tab w:val="clear" w:pos="720"/>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kosztów przeznaczonych na szkolenia trenerów.</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 xml:space="preserve">Dla każdej z ww. kategorii przypisano kopertę 10% całości alokacji. W ramach kosztów ponoszonych przez beneficjentów (koszty zarządzania), można wyodrębnić m.in. środki przeznaczone na wynagrodzenia, monitoring, kontrolę, informację i promocję oraz środki przeznaczone na wsparcie </w:t>
            </w:r>
            <w:proofErr w:type="spellStart"/>
            <w:r w:rsidRPr="0017373C">
              <w:rPr>
                <w:rFonts w:cs="Calibri"/>
                <w:sz w:val="20"/>
                <w:szCs w:val="20"/>
                <w:lang w:eastAsia="ar-SA"/>
              </w:rPr>
              <w:t>jst</w:t>
            </w:r>
            <w:proofErr w:type="spellEnd"/>
            <w:r w:rsidRPr="0017373C">
              <w:rPr>
                <w:rFonts w:cs="Calibri"/>
                <w:sz w:val="20"/>
                <w:szCs w:val="20"/>
                <w:lang w:eastAsia="ar-SA"/>
              </w:rPr>
              <w:t xml:space="preserve"> przy tworzeniu analiz lokalnych potrzeb w zakresie rozwoju kompetencji cyfrowych. </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 xml:space="preserve">Zakup sprzętu natomiast będzie dopuszczony tylko pod warunkiem jego konieczności i odpowiedniego uzasadnienia we wniosku o dofinansowanie projektu. Będzie to sprzęt wykorzystywany przede wszystkim na mobilne formy szkoleniowe, ale dopuszczone zostanie także doposażenie </w:t>
            </w:r>
            <w:proofErr w:type="spellStart"/>
            <w:r w:rsidRPr="0017373C">
              <w:rPr>
                <w:rFonts w:cs="Calibri"/>
                <w:sz w:val="20"/>
                <w:szCs w:val="20"/>
                <w:lang w:eastAsia="ar-SA"/>
              </w:rPr>
              <w:t>PIAPów</w:t>
            </w:r>
            <w:proofErr w:type="spellEnd"/>
            <w:r w:rsidRPr="0017373C">
              <w:rPr>
                <w:rFonts w:cs="Calibri"/>
                <w:sz w:val="20"/>
                <w:szCs w:val="20"/>
                <w:lang w:eastAsia="ar-SA"/>
              </w:rPr>
              <w:t xml:space="preserve"> w sytuacji, gdy taka zasadność będzie wynikała z analizy lokalnych potrzeb (której z kolei jednym z elementów będzie inwentaryzacja posiadanej infrastruktury ICT). Jednym z przykładów zasadności takiego wsparcia jest przeszkolenie osoby trwale zatrudnionej w </w:t>
            </w:r>
            <w:proofErr w:type="spellStart"/>
            <w:r w:rsidRPr="0017373C">
              <w:rPr>
                <w:rFonts w:cs="Calibri"/>
                <w:sz w:val="20"/>
                <w:szCs w:val="20"/>
                <w:lang w:eastAsia="ar-SA"/>
              </w:rPr>
              <w:t>PIAPie</w:t>
            </w:r>
            <w:proofErr w:type="spellEnd"/>
            <w:r w:rsidRPr="0017373C">
              <w:rPr>
                <w:rFonts w:cs="Calibri"/>
                <w:sz w:val="20"/>
                <w:szCs w:val="20"/>
                <w:lang w:eastAsia="ar-SA"/>
              </w:rPr>
              <w:t xml:space="preserve"> np. bibliotece, która podejmie się stałego udzielania doradztwa z zakresu e-kompetencji niejako przy okazji wypełnienia głównych zadań.</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Alokacja przeznaczona na szkolenia trenerów bazuje na doświadczeniach wdrażania działania 8.3 POIG, w którym m.in. realizowano działania szkoleniowe na rzecz włączenia cyfrowego. Na podstawie analizy wybranych projektów wskazano, że ok. 20% całości środków przeznaczano na szkolenia trenerów. Z uwagi na fakt, iż zgodnie z przyjętymi założeniami wdrażanie działania 3.1 POPC nastąpi poprzez realizację kilku projektów, a przede wszystkim znacznie większej grupy przeszkolonych przez jednego trenera można przyjąć, że wartości będą niższe i będą oscylować na poziomie ok. 10% wartości. Wyodrębnienie alokacji przeznaczonej na tę kategorię wydatków należy tłumaczyć koniecznością wyposażenia trenerów w odpowiednie umiejętności oraz wiedzę, stałego ich dostosowywania do potrzeb mieszkańców, jak również zapewnienia jednolitego podejścia do rozwoju kompetencji cyfrowych poprzez opracowane w tym zakresie standardy.</w:t>
            </w:r>
            <w:r w:rsidRPr="0017373C" w:rsidDel="009E0BAB">
              <w:rPr>
                <w:rFonts w:cs="Calibri"/>
                <w:sz w:val="20"/>
                <w:szCs w:val="20"/>
                <w:lang w:eastAsia="ar-SA"/>
              </w:rPr>
              <w:t xml:space="preserve"> </w:t>
            </w:r>
            <w:r w:rsidRPr="0017373C">
              <w:rPr>
                <w:rFonts w:cs="Calibri"/>
                <w:sz w:val="20"/>
                <w:szCs w:val="20"/>
                <w:lang w:eastAsia="ar-SA"/>
              </w:rPr>
              <w:t xml:space="preserve">Należy przy tym dodać, że szkoleniami z zakresu kompetencji trenera zostaną także objęci pracownicy </w:t>
            </w:r>
            <w:proofErr w:type="spellStart"/>
            <w:r w:rsidRPr="0017373C">
              <w:rPr>
                <w:rFonts w:cs="Calibri"/>
                <w:sz w:val="20"/>
                <w:szCs w:val="20"/>
                <w:lang w:eastAsia="ar-SA"/>
              </w:rPr>
              <w:t>PIAPów</w:t>
            </w:r>
            <w:proofErr w:type="spellEnd"/>
            <w:r w:rsidRPr="0017373C">
              <w:rPr>
                <w:rFonts w:cs="Calibri"/>
                <w:sz w:val="20"/>
                <w:szCs w:val="20"/>
                <w:lang w:eastAsia="ar-SA"/>
              </w:rPr>
              <w:t xml:space="preserve">. </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r w:rsidRPr="0017373C">
              <w:rPr>
                <w:rFonts w:cs="Calibri"/>
                <w:sz w:val="20"/>
                <w:szCs w:val="20"/>
                <w:lang w:eastAsia="ar-SA"/>
              </w:rPr>
              <w:t xml:space="preserve">Pozostała kwota alokacji tj. 70% została przeznaczona na działania szkoleniowe przeznaczone bezpośrednio dla grup odbiorców wskazanych w programie. </w:t>
            </w:r>
          </w:p>
          <w:p w:rsidR="00560461" w:rsidRPr="0017373C" w:rsidRDefault="00560461" w:rsidP="00004677">
            <w:pPr>
              <w:tabs>
                <w:tab w:val="left" w:pos="709"/>
              </w:tabs>
              <w:suppressAutoHyphens/>
              <w:spacing w:before="120" w:after="120" w:line="240" w:lineRule="auto"/>
              <w:ind w:left="142"/>
              <w:jc w:val="both"/>
              <w:rPr>
                <w:rFonts w:cs="Calibri"/>
                <w:sz w:val="20"/>
                <w:szCs w:val="20"/>
                <w:lang w:eastAsia="ar-SA"/>
              </w:rPr>
            </w:pPr>
          </w:p>
          <w:p w:rsidR="00560461" w:rsidRPr="0017373C" w:rsidRDefault="00560461" w:rsidP="00004677">
            <w:pPr>
              <w:tabs>
                <w:tab w:val="left" w:pos="709"/>
              </w:tabs>
              <w:suppressAutoHyphens/>
              <w:spacing w:after="120" w:line="240" w:lineRule="auto"/>
              <w:ind w:left="360"/>
              <w:jc w:val="both"/>
              <w:rPr>
                <w:rFonts w:cs="Calibri"/>
                <w:b/>
                <w:sz w:val="20"/>
                <w:szCs w:val="20"/>
                <w:lang w:eastAsia="ar-SA"/>
              </w:rPr>
            </w:pPr>
            <w:r w:rsidRPr="0017373C">
              <w:rPr>
                <w:rFonts w:cs="Calibri"/>
                <w:b/>
                <w:sz w:val="20"/>
                <w:szCs w:val="20"/>
                <w:lang w:eastAsia="ar-SA"/>
              </w:rPr>
              <w:t xml:space="preserve">3) Koszty jednostkowe </w:t>
            </w:r>
            <w:proofErr w:type="spellStart"/>
            <w:r w:rsidRPr="0017373C">
              <w:rPr>
                <w:rFonts w:cs="Calibri"/>
                <w:b/>
                <w:sz w:val="20"/>
                <w:szCs w:val="20"/>
                <w:lang w:eastAsia="ar-SA"/>
              </w:rPr>
              <w:t>osoboszkolenia</w:t>
            </w:r>
            <w:proofErr w:type="spellEnd"/>
            <w:r>
              <w:rPr>
                <w:rFonts w:cs="Calibri"/>
                <w:b/>
                <w:sz w:val="20"/>
                <w:szCs w:val="20"/>
                <w:lang w:eastAsia="ar-SA"/>
              </w:rPr>
              <w:t xml:space="preserve"> w działaniu 3.1 POPC</w:t>
            </w:r>
          </w:p>
          <w:p w:rsidR="00560461" w:rsidRPr="0017373C" w:rsidRDefault="00560461" w:rsidP="00560461">
            <w:pPr>
              <w:numPr>
                <w:ilvl w:val="0"/>
                <w:numId w:val="23"/>
              </w:numPr>
              <w:tabs>
                <w:tab w:val="left" w:pos="426"/>
              </w:tabs>
              <w:suppressAutoHyphens/>
              <w:spacing w:before="120" w:after="120" w:line="240" w:lineRule="auto"/>
              <w:ind w:left="425" w:hanging="284"/>
              <w:jc w:val="both"/>
              <w:rPr>
                <w:rFonts w:cs="Calibri"/>
                <w:sz w:val="20"/>
                <w:lang w:eastAsia="ar-SA"/>
              </w:rPr>
            </w:pPr>
            <w:r w:rsidRPr="0017373C">
              <w:rPr>
                <w:rFonts w:cs="Calibri"/>
                <w:sz w:val="20"/>
                <w:szCs w:val="20"/>
                <w:lang w:eastAsia="ar-SA"/>
              </w:rPr>
              <w:t>Do wyliczenia kosztów jednostkowych szkoleń podstawowych i ponadpodstawowych wykorzystano odpowiednio</w:t>
            </w:r>
            <w:r w:rsidRPr="0017373C">
              <w:rPr>
                <w:rFonts w:cs="Calibri"/>
                <w:sz w:val="20"/>
                <w:szCs w:val="20"/>
                <w:vertAlign w:val="superscript"/>
                <w:lang w:eastAsia="ar-SA"/>
              </w:rPr>
              <w:footnoteReference w:id="24"/>
            </w:r>
            <w:r w:rsidRPr="0017373C">
              <w:rPr>
                <w:rFonts w:cs="Calibri"/>
                <w:sz w:val="20"/>
                <w:szCs w:val="20"/>
                <w:lang w:eastAsia="ar-SA"/>
              </w:rPr>
              <w:t xml:space="preserve">: </w:t>
            </w:r>
          </w:p>
          <w:p w:rsidR="00560461" w:rsidRPr="0017373C" w:rsidRDefault="00560461" w:rsidP="00004677">
            <w:pPr>
              <w:tabs>
                <w:tab w:val="left" w:pos="426"/>
              </w:tabs>
              <w:suppressAutoHyphens/>
              <w:spacing w:before="120" w:after="120" w:line="240" w:lineRule="auto"/>
              <w:ind w:left="425"/>
              <w:jc w:val="both"/>
              <w:rPr>
                <w:rFonts w:cs="Calibri"/>
                <w:sz w:val="20"/>
                <w:szCs w:val="20"/>
                <w:lang w:eastAsia="ar-SA"/>
              </w:rPr>
            </w:pPr>
            <w:r w:rsidRPr="0017373C">
              <w:rPr>
                <w:rFonts w:cs="Calibri"/>
                <w:sz w:val="20"/>
                <w:szCs w:val="20"/>
                <w:lang w:eastAsia="ar-SA"/>
              </w:rPr>
              <w:t xml:space="preserve">- dane z działania 8.3 POIG, </w:t>
            </w:r>
          </w:p>
          <w:p w:rsidR="00560461" w:rsidRPr="0017373C" w:rsidRDefault="00560461" w:rsidP="00004677">
            <w:pPr>
              <w:tabs>
                <w:tab w:val="left" w:pos="426"/>
              </w:tabs>
              <w:suppressAutoHyphens/>
              <w:spacing w:before="120" w:after="120" w:line="240" w:lineRule="auto"/>
              <w:ind w:left="425"/>
              <w:jc w:val="both"/>
              <w:rPr>
                <w:rFonts w:cs="Calibri"/>
                <w:sz w:val="20"/>
                <w:szCs w:val="20"/>
                <w:lang w:eastAsia="ar-SA"/>
              </w:rPr>
            </w:pPr>
            <w:r w:rsidRPr="0017373C">
              <w:rPr>
                <w:rFonts w:cs="Calibri"/>
                <w:sz w:val="20"/>
                <w:szCs w:val="20"/>
                <w:lang w:eastAsia="ar-SA"/>
              </w:rPr>
              <w:t>- analizy projektów organizacji pozarządowych złożonych w ramach konkursu na realizację zadania publicznego pod nazwą „</w:t>
            </w:r>
            <w:r w:rsidRPr="0017373C">
              <w:rPr>
                <w:rFonts w:cs="Calibri"/>
                <w:i/>
                <w:sz w:val="20"/>
                <w:szCs w:val="20"/>
                <w:lang w:eastAsia="ar-SA"/>
              </w:rPr>
              <w:t>Nowatorskie inicjatywy na rzecz rozwoju umiejętności programowania oraz budowania kapitału społecznego z wykorzystaniem technologii informacyjno-komunikacyjnych</w:t>
            </w:r>
            <w:r w:rsidRPr="0017373C">
              <w:rPr>
                <w:rFonts w:cs="Calibri"/>
                <w:sz w:val="20"/>
                <w:szCs w:val="20"/>
                <w:lang w:eastAsia="ar-SA"/>
              </w:rPr>
              <w:t>”.</w:t>
            </w:r>
            <w:r w:rsidRPr="0017373C">
              <w:rPr>
                <w:rFonts w:cs="Calibri"/>
                <w:szCs w:val="20"/>
                <w:vertAlign w:val="superscript"/>
                <w:lang w:eastAsia="ar-SA"/>
              </w:rPr>
              <w:footnoteReference w:id="25"/>
            </w:r>
            <w:r w:rsidRPr="0017373C">
              <w:rPr>
                <w:rFonts w:cs="Calibri"/>
                <w:szCs w:val="20"/>
                <w:vertAlign w:val="superscript"/>
                <w:lang w:eastAsia="ar-SA"/>
              </w:rPr>
              <w:t xml:space="preserve"> </w:t>
            </w:r>
          </w:p>
          <w:p w:rsidR="00560461" w:rsidRPr="0017373C" w:rsidRDefault="00560461" w:rsidP="00004677">
            <w:pPr>
              <w:tabs>
                <w:tab w:val="left" w:pos="426"/>
              </w:tabs>
              <w:suppressAutoHyphens/>
              <w:spacing w:before="120" w:after="120" w:line="240" w:lineRule="auto"/>
              <w:ind w:left="425"/>
              <w:jc w:val="both"/>
              <w:rPr>
                <w:rFonts w:cs="Calibri"/>
                <w:sz w:val="20"/>
                <w:szCs w:val="20"/>
                <w:lang w:eastAsia="ar-SA"/>
              </w:rPr>
            </w:pPr>
            <w:r w:rsidRPr="0017373C">
              <w:rPr>
                <w:rFonts w:cs="Calibri"/>
                <w:sz w:val="20"/>
                <w:szCs w:val="20"/>
                <w:lang w:eastAsia="ar-SA"/>
              </w:rPr>
              <w:t xml:space="preserve">Kwota </w:t>
            </w:r>
            <w:proofErr w:type="spellStart"/>
            <w:r w:rsidRPr="0017373C">
              <w:rPr>
                <w:rFonts w:cs="Calibri"/>
                <w:sz w:val="20"/>
                <w:szCs w:val="20"/>
                <w:lang w:eastAsia="ar-SA"/>
              </w:rPr>
              <w:t>osoboszkolenia</w:t>
            </w:r>
            <w:proofErr w:type="spellEnd"/>
            <w:r w:rsidRPr="0017373C">
              <w:rPr>
                <w:rFonts w:cs="Calibri"/>
                <w:sz w:val="20"/>
                <w:szCs w:val="20"/>
                <w:lang w:eastAsia="ar-SA"/>
              </w:rPr>
              <w:t xml:space="preserve"> zależała od poziomu zaawansowania szkolenia (poziom podstawowy, poziom ponadpodstawowy). W efekcie została obliczona liczba osób, która zostanie objęta szkoleniami. Ze względu na dwie koperty finansowe (regiony słabiej rozwinięte i region lepiej rozwinięty) koszty jednostkowe zostały odrębnie wyliczone dla 15 regionów i dla Mazowsza. Ponadto, uznając, że część uczestników szkoleń będzie już posiadać kompetencje podstawowe i przystąpi tylko do szkoleń z zakresu ponadpodstawowego, poszczególne koperty finansowe rozdzielono na:</w:t>
            </w:r>
          </w:p>
          <w:p w:rsidR="00560461" w:rsidRPr="0017373C" w:rsidRDefault="00560461" w:rsidP="00004677">
            <w:pPr>
              <w:tabs>
                <w:tab w:val="left" w:pos="426"/>
              </w:tabs>
              <w:suppressAutoHyphens/>
              <w:spacing w:after="120"/>
              <w:ind w:left="426"/>
              <w:jc w:val="both"/>
              <w:rPr>
                <w:rFonts w:cs="Calibri"/>
                <w:sz w:val="20"/>
                <w:szCs w:val="20"/>
                <w:lang w:eastAsia="ar-SA"/>
              </w:rPr>
            </w:pPr>
            <w:r w:rsidRPr="0017373C">
              <w:rPr>
                <w:rFonts w:cs="Calibri"/>
                <w:sz w:val="20"/>
                <w:szCs w:val="20"/>
                <w:lang w:eastAsia="ar-SA"/>
              </w:rPr>
              <w:t>- 60% dla szkoleń ponadpodstawowych,</w:t>
            </w:r>
          </w:p>
          <w:p w:rsidR="00560461" w:rsidRPr="0017373C" w:rsidRDefault="00560461" w:rsidP="00004677">
            <w:pPr>
              <w:tabs>
                <w:tab w:val="left" w:pos="426"/>
              </w:tabs>
              <w:suppressAutoHyphens/>
              <w:spacing w:after="120"/>
              <w:ind w:left="426"/>
              <w:jc w:val="both"/>
              <w:rPr>
                <w:rFonts w:cs="Calibri"/>
                <w:sz w:val="20"/>
                <w:lang w:eastAsia="ar-SA"/>
              </w:rPr>
            </w:pPr>
            <w:r w:rsidRPr="0017373C">
              <w:rPr>
                <w:rFonts w:cs="Calibri"/>
                <w:sz w:val="20"/>
                <w:szCs w:val="20"/>
                <w:lang w:eastAsia="ar-SA"/>
              </w:rPr>
              <w:t xml:space="preserve">- 40% dla szkoleń podstawowych. </w:t>
            </w:r>
          </w:p>
          <w:p w:rsidR="00560461" w:rsidRPr="0017373C" w:rsidRDefault="00560461" w:rsidP="00004677">
            <w:pPr>
              <w:tabs>
                <w:tab w:val="left" w:pos="426"/>
              </w:tabs>
              <w:suppressAutoHyphens/>
              <w:spacing w:before="120" w:after="120" w:line="240" w:lineRule="auto"/>
              <w:ind w:left="425"/>
              <w:jc w:val="both"/>
              <w:rPr>
                <w:rFonts w:cs="Calibri"/>
                <w:sz w:val="20"/>
                <w:lang w:eastAsia="ar-SA"/>
              </w:rPr>
            </w:pPr>
            <w:r w:rsidRPr="0017373C">
              <w:rPr>
                <w:rFonts w:cs="Calibri"/>
                <w:sz w:val="20"/>
                <w:lang w:eastAsia="ar-SA"/>
              </w:rPr>
              <w:t xml:space="preserve">Przy szacowaniu wskaźnika wzięto pod uwagę różne koszty w poszczególnych województwach, jednakże mając na uwadze jedynie dwie kategorie regionów, posłużono się średnią arytmetyczną. Uzyskany średni koszt szkolenia w regionach słabiej rozwiniętych to ok. 367 zł, natomiast dla regionu lepiej rozwiniętego wynosi 438 zł. Następnie dokonano przeliczenia kosztów jednostkowych na ceny stałe z 2014 r., korzystając z wybranego indeksu cen </w:t>
            </w:r>
            <w:r w:rsidRPr="0017373C">
              <w:rPr>
                <w:rFonts w:cs="Calibri"/>
                <w:color w:val="000000"/>
                <w:sz w:val="20"/>
                <w:lang w:eastAsia="ar-SA"/>
              </w:rPr>
              <w:t xml:space="preserve">CPI (wskaźnik cen towarów i usług konsumpcyjnych) - </w:t>
            </w:r>
            <w:r w:rsidRPr="0017373C">
              <w:rPr>
                <w:rFonts w:cs="Calibri"/>
                <w:sz w:val="20"/>
                <w:lang w:eastAsia="ar-SA"/>
              </w:rPr>
              <w:t>94,5%.</w:t>
            </w:r>
            <w:r w:rsidRPr="0017373C">
              <w:rPr>
                <w:rFonts w:cs="Calibri"/>
                <w:lang w:eastAsia="ar-SA"/>
              </w:rPr>
              <w:t xml:space="preserve"> </w:t>
            </w:r>
            <w:r w:rsidRPr="0017373C">
              <w:rPr>
                <w:rFonts w:cs="Calibri"/>
                <w:sz w:val="20"/>
                <w:lang w:eastAsia="ar-SA"/>
              </w:rPr>
              <w:t>Wartość ta stanowi średnią ważoną indeksu w latach 2007-2013 dla roku bazowego 2014, wagi określone na podstawie udziału wydatków w poszczególnych latach w alokacji środków w perspektywie 2007-2013 – indeks powiązano z odpowiednimi kategoriami interwencji. Przeliczenia dokonano wg następującego wzoru:</w:t>
            </w:r>
          </w:p>
          <w:p w:rsidR="00560461" w:rsidRPr="0017373C" w:rsidRDefault="00EC713C" w:rsidP="00004677">
            <w:pPr>
              <w:tabs>
                <w:tab w:val="left" w:pos="709"/>
              </w:tabs>
              <w:suppressAutoHyphens/>
              <w:spacing w:after="120"/>
              <w:ind w:left="142"/>
              <w:jc w:val="center"/>
              <w:rPr>
                <w:rFonts w:cs="Calibri"/>
                <w:sz w:val="20"/>
                <w:lang w:eastAsia="ar-SA"/>
              </w:rPr>
            </w:pPr>
            <w:r>
              <w:rPr>
                <w:rFonts w:cs="Calibri"/>
                <w:noProof/>
                <w:lang w:eastAsia="pl-PL"/>
              </w:rPr>
              <w:drawing>
                <wp:inline distT="0" distB="0" distL="0" distR="0">
                  <wp:extent cx="2200275" cy="209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209550"/>
                          </a:xfrm>
                          <a:prstGeom prst="rect">
                            <a:avLst/>
                          </a:prstGeom>
                          <a:solidFill>
                            <a:srgbClr val="FFFFFF"/>
                          </a:solidFill>
                          <a:ln>
                            <a:noFill/>
                          </a:ln>
                        </pic:spPr>
                      </pic:pic>
                    </a:graphicData>
                  </a:graphic>
                </wp:inline>
              </w:drawing>
            </w:r>
          </w:p>
          <w:p w:rsidR="00560461" w:rsidRPr="0017373C" w:rsidRDefault="00560461" w:rsidP="00004677">
            <w:pPr>
              <w:tabs>
                <w:tab w:val="left" w:pos="426"/>
              </w:tabs>
              <w:suppressAutoHyphens/>
              <w:spacing w:before="120" w:after="120" w:line="240" w:lineRule="auto"/>
              <w:ind w:left="425"/>
              <w:jc w:val="both"/>
              <w:rPr>
                <w:rFonts w:cs="Calibri"/>
                <w:sz w:val="20"/>
                <w:lang w:eastAsia="ar-SA"/>
              </w:rPr>
            </w:pPr>
            <w:r w:rsidRPr="0017373C">
              <w:rPr>
                <w:rFonts w:cs="Calibri"/>
                <w:sz w:val="20"/>
                <w:lang w:eastAsia="ar-SA"/>
              </w:rPr>
              <w:t xml:space="preserve">W efekcie uzyskano średnią wartość dla regionów słabiej rozwiniętych w wysokości - </w:t>
            </w:r>
            <w:r w:rsidRPr="0017373C">
              <w:rPr>
                <w:rFonts w:cs="Calibri"/>
                <w:b/>
                <w:bCs/>
                <w:sz w:val="20"/>
                <w:lang w:eastAsia="ar-SA"/>
              </w:rPr>
              <w:t>389 zł</w:t>
            </w:r>
            <w:r w:rsidRPr="0017373C">
              <w:rPr>
                <w:rFonts w:cs="Calibri"/>
                <w:sz w:val="20"/>
                <w:lang w:eastAsia="ar-SA"/>
              </w:rPr>
              <w:t xml:space="preserve">. Natomiast koszt dla Mazowsza wyniósł  </w:t>
            </w:r>
            <w:r w:rsidRPr="0017373C">
              <w:rPr>
                <w:rFonts w:cs="Calibri"/>
                <w:b/>
                <w:bCs/>
                <w:sz w:val="20"/>
                <w:lang w:eastAsia="ar-SA"/>
              </w:rPr>
              <w:t>465 zł</w:t>
            </w:r>
            <w:r w:rsidRPr="0017373C">
              <w:rPr>
                <w:rFonts w:cs="Calibri"/>
                <w:sz w:val="20"/>
                <w:lang w:eastAsia="ar-SA"/>
              </w:rPr>
              <w:t xml:space="preserve">. </w:t>
            </w:r>
          </w:p>
          <w:p w:rsidR="00560461" w:rsidRPr="0017373C" w:rsidRDefault="00560461" w:rsidP="00560461">
            <w:pPr>
              <w:numPr>
                <w:ilvl w:val="0"/>
                <w:numId w:val="23"/>
              </w:numPr>
              <w:tabs>
                <w:tab w:val="left" w:pos="426"/>
              </w:tabs>
              <w:suppressAutoHyphens/>
              <w:spacing w:before="120" w:after="120" w:line="240" w:lineRule="auto"/>
              <w:ind w:left="426" w:hanging="284"/>
              <w:jc w:val="both"/>
              <w:rPr>
                <w:rFonts w:cs="Calibri"/>
                <w:sz w:val="20"/>
                <w:lang w:eastAsia="ar-SA"/>
              </w:rPr>
            </w:pPr>
            <w:r w:rsidRPr="0017373C">
              <w:rPr>
                <w:rFonts w:cs="Calibri"/>
                <w:sz w:val="20"/>
                <w:lang w:eastAsia="ar-SA"/>
              </w:rPr>
              <w:t>W zakresie poziomu ponadpodstawowego zastosowano dane ze wspomnianego konkursu MAC</w:t>
            </w:r>
            <w:r w:rsidRPr="0017373C">
              <w:rPr>
                <w:rFonts w:cs="Calibri"/>
                <w:sz w:val="20"/>
                <w:vertAlign w:val="superscript"/>
                <w:lang w:eastAsia="ar-SA"/>
              </w:rPr>
              <w:footnoteReference w:id="26"/>
            </w:r>
            <w:r w:rsidRPr="0017373C">
              <w:rPr>
                <w:rFonts w:cs="Calibri"/>
                <w:sz w:val="20"/>
                <w:lang w:eastAsia="ar-SA"/>
              </w:rPr>
              <w:t xml:space="preserve">. Z uwagi na brak informacji w podziale na województwa została użyta ujednolicona wartość wynosząca 700 zł za </w:t>
            </w:r>
            <w:proofErr w:type="spellStart"/>
            <w:r w:rsidRPr="0017373C">
              <w:rPr>
                <w:rFonts w:cs="Calibri"/>
                <w:sz w:val="20"/>
                <w:lang w:eastAsia="ar-SA"/>
              </w:rPr>
              <w:t>osoboszkolenie</w:t>
            </w:r>
            <w:proofErr w:type="spellEnd"/>
            <w:r w:rsidRPr="0017373C">
              <w:rPr>
                <w:rFonts w:cs="Calibri"/>
                <w:sz w:val="20"/>
                <w:lang w:eastAsia="ar-SA"/>
              </w:rPr>
              <w:t xml:space="preserve">. Wartość ta również została przeliczona na koszty stałe z 2014 r. i wyniosła - </w:t>
            </w:r>
            <w:r w:rsidRPr="0017373C">
              <w:rPr>
                <w:rFonts w:cs="Calibri"/>
                <w:b/>
                <w:bCs/>
                <w:sz w:val="20"/>
                <w:lang w:eastAsia="ar-SA"/>
              </w:rPr>
              <w:t xml:space="preserve">743 zł </w:t>
            </w:r>
            <w:r w:rsidRPr="0017373C">
              <w:rPr>
                <w:rFonts w:cs="Calibri"/>
                <w:bCs/>
                <w:sz w:val="20"/>
                <w:lang w:eastAsia="ar-SA"/>
              </w:rPr>
              <w:t>dla obu kategorii regionów.</w:t>
            </w:r>
            <w:r w:rsidRPr="0017373C">
              <w:rPr>
                <w:rFonts w:cs="Calibri"/>
                <w:sz w:val="20"/>
                <w:lang w:eastAsia="ar-SA"/>
              </w:rPr>
              <w:t xml:space="preserve"> </w:t>
            </w:r>
          </w:p>
          <w:p w:rsidR="00560461" w:rsidRPr="0017373C" w:rsidRDefault="00560461" w:rsidP="00004677">
            <w:pPr>
              <w:tabs>
                <w:tab w:val="left" w:pos="709"/>
              </w:tabs>
              <w:suppressAutoHyphens/>
              <w:spacing w:after="120"/>
              <w:ind w:left="142"/>
              <w:jc w:val="both"/>
              <w:rPr>
                <w:rFonts w:cs="Calibri"/>
                <w:sz w:val="20"/>
                <w:lang w:eastAsia="ar-SA"/>
              </w:rPr>
            </w:pPr>
            <w:r w:rsidRPr="0017373C">
              <w:rPr>
                <w:rFonts w:cs="Calibri"/>
                <w:sz w:val="20"/>
                <w:lang w:eastAsia="ar-SA"/>
              </w:rPr>
              <w:t>Następnie posiadając wspomniane powyżej wartości kosztów dot. poziomu podstawowego oraz kosztu dot. poziomu ponadpodstawowego w podziale na regiony słabiej rozwinięte i region lepiej rozwinięty wyliczono średnią arytmetyczną z kosztów obu typów szkoleń.</w:t>
            </w:r>
          </w:p>
          <w:p w:rsidR="00560461" w:rsidRPr="0017373C" w:rsidRDefault="00560461" w:rsidP="00004677">
            <w:pPr>
              <w:keepNext/>
              <w:keepLines/>
              <w:tabs>
                <w:tab w:val="left" w:pos="709"/>
              </w:tabs>
              <w:suppressAutoHyphens/>
              <w:spacing w:after="120"/>
              <w:ind w:left="142"/>
              <w:jc w:val="both"/>
              <w:rPr>
                <w:rFonts w:cs="Calibri"/>
                <w:sz w:val="20"/>
                <w:lang w:eastAsia="ar-SA"/>
              </w:rPr>
            </w:pPr>
          </w:p>
          <w:p w:rsidR="00560461" w:rsidRPr="0017373C" w:rsidRDefault="00560461" w:rsidP="00004677">
            <w:pPr>
              <w:keepNext/>
              <w:keepLines/>
              <w:pageBreakBefore/>
              <w:suppressAutoHyphens/>
              <w:spacing w:after="0" w:line="240" w:lineRule="auto"/>
              <w:rPr>
                <w:rFonts w:cs="Calibri"/>
                <w:highlight w:val="yellow"/>
                <w:lang w:eastAsia="ar-SA"/>
              </w:rPr>
            </w:pPr>
            <w:bookmarkStart w:id="21" w:name="_Toc401826768"/>
            <w:r w:rsidRPr="0017373C">
              <w:rPr>
                <w:rFonts w:cs="Calibri"/>
                <w:b/>
                <w:bCs/>
                <w:color w:val="1F497D"/>
                <w:sz w:val="20"/>
                <w:szCs w:val="20"/>
                <w:lang w:eastAsia="ar-SA"/>
              </w:rPr>
              <w:t xml:space="preserve">Tabela </w:t>
            </w:r>
            <w:r w:rsidR="00544B8B">
              <w:rPr>
                <w:rFonts w:cs="Calibri"/>
                <w:b/>
                <w:bCs/>
                <w:color w:val="1F497D"/>
                <w:sz w:val="20"/>
                <w:szCs w:val="20"/>
                <w:lang w:eastAsia="ar-SA"/>
              </w:rPr>
              <w:t>14</w:t>
            </w:r>
            <w:r w:rsidRPr="0017373C">
              <w:rPr>
                <w:rFonts w:cs="Calibri"/>
                <w:b/>
                <w:bCs/>
                <w:color w:val="1F497D"/>
                <w:sz w:val="20"/>
                <w:szCs w:val="20"/>
                <w:lang w:eastAsia="ar-SA"/>
              </w:rPr>
              <w:t xml:space="preserve"> – Średnie kosztów </w:t>
            </w:r>
            <w:proofErr w:type="spellStart"/>
            <w:r w:rsidRPr="0017373C">
              <w:rPr>
                <w:rFonts w:cs="Calibri"/>
                <w:b/>
                <w:bCs/>
                <w:color w:val="1F497D"/>
                <w:sz w:val="20"/>
                <w:szCs w:val="20"/>
                <w:lang w:eastAsia="ar-SA"/>
              </w:rPr>
              <w:t>osoboszkolenia</w:t>
            </w:r>
            <w:proofErr w:type="spellEnd"/>
            <w:r w:rsidRPr="0017373C">
              <w:rPr>
                <w:rFonts w:cs="Calibri"/>
                <w:b/>
                <w:bCs/>
                <w:color w:val="1F497D"/>
                <w:sz w:val="20"/>
                <w:szCs w:val="20"/>
                <w:lang w:eastAsia="ar-SA"/>
              </w:rPr>
              <w:t xml:space="preserve"> w podziale na kategorie regionów</w:t>
            </w:r>
            <w:bookmarkEnd w:id="21"/>
            <w:r w:rsidRPr="0017373C">
              <w:rPr>
                <w:rFonts w:cs="Calibri"/>
                <w:b/>
                <w:bCs/>
                <w:color w:val="1F497D"/>
                <w:sz w:val="20"/>
                <w:szCs w:val="20"/>
                <w:lang w:eastAsia="ar-SA"/>
              </w:rPr>
              <w:t xml:space="preserve"> </w:t>
            </w:r>
          </w:p>
          <w:tbl>
            <w:tblPr>
              <w:tblW w:w="8647" w:type="dxa"/>
              <w:tblCellMar>
                <w:left w:w="70" w:type="dxa"/>
                <w:right w:w="70" w:type="dxa"/>
              </w:tblCellMar>
              <w:tblLook w:val="04A0" w:firstRow="1" w:lastRow="0" w:firstColumn="1" w:lastColumn="0" w:noHBand="0" w:noVBand="1"/>
            </w:tblPr>
            <w:tblGrid>
              <w:gridCol w:w="851"/>
              <w:gridCol w:w="1276"/>
              <w:gridCol w:w="993"/>
              <w:gridCol w:w="1416"/>
              <w:gridCol w:w="1418"/>
              <w:gridCol w:w="1134"/>
              <w:gridCol w:w="1559"/>
            </w:tblGrid>
            <w:tr w:rsidR="00560461" w:rsidRPr="0017373C" w:rsidTr="00004677">
              <w:trPr>
                <w:trHeight w:val="1020"/>
              </w:trPr>
              <w:tc>
                <w:tcPr>
                  <w:tcW w:w="851" w:type="dxa"/>
                  <w:tcBorders>
                    <w:top w:val="single" w:sz="4" w:space="0" w:color="auto"/>
                    <w:left w:val="single" w:sz="4" w:space="0" w:color="auto"/>
                    <w:bottom w:val="single" w:sz="4" w:space="0" w:color="auto"/>
                    <w:right w:val="single" w:sz="4" w:space="0" w:color="auto"/>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lastRenderedPageBreak/>
                    <w:t>Kategoria regionu</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Poziom szkolenia</w:t>
                  </w:r>
                </w:p>
              </w:tc>
              <w:tc>
                <w:tcPr>
                  <w:tcW w:w="993" w:type="dxa"/>
                  <w:tcBorders>
                    <w:top w:val="single" w:sz="4" w:space="0" w:color="auto"/>
                    <w:left w:val="nil"/>
                    <w:bottom w:val="single" w:sz="4" w:space="0" w:color="auto"/>
                    <w:right w:val="single" w:sz="4" w:space="0" w:color="auto"/>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 xml:space="preserve">Alokacja </w:t>
                  </w:r>
                  <w:r>
                    <w:rPr>
                      <w:rFonts w:eastAsia="Times New Roman" w:cs="Calibri"/>
                      <w:b/>
                      <w:bCs/>
                      <w:color w:val="000000"/>
                      <w:sz w:val="14"/>
                      <w:szCs w:val="20"/>
                      <w:lang w:eastAsia="pl-PL"/>
                    </w:rPr>
                    <w:t xml:space="preserve">na szkolenia </w:t>
                  </w:r>
                  <w:r w:rsidRPr="0017373C">
                    <w:rPr>
                      <w:rFonts w:eastAsia="Times New Roman" w:cs="Calibri"/>
                      <w:b/>
                      <w:bCs/>
                      <w:color w:val="000000"/>
                      <w:sz w:val="14"/>
                      <w:szCs w:val="20"/>
                      <w:lang w:eastAsia="pl-PL"/>
                    </w:rPr>
                    <w:t>działania 3.1</w:t>
                  </w:r>
                </w:p>
              </w:tc>
              <w:tc>
                <w:tcPr>
                  <w:tcW w:w="1416" w:type="dxa"/>
                  <w:tcBorders>
                    <w:top w:val="single" w:sz="4" w:space="0" w:color="auto"/>
                    <w:left w:val="nil"/>
                    <w:bottom w:val="single" w:sz="4" w:space="0" w:color="auto"/>
                    <w:right w:val="single" w:sz="4" w:space="0" w:color="auto"/>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Średni koszt przeszkolenia 1 osoby (realnie poniesionej) wg 8.3 POIG</w:t>
                  </w:r>
                </w:p>
              </w:tc>
              <w:tc>
                <w:tcPr>
                  <w:tcW w:w="1418" w:type="dxa"/>
                  <w:tcBorders>
                    <w:top w:val="single" w:sz="4" w:space="0" w:color="auto"/>
                    <w:left w:val="nil"/>
                    <w:bottom w:val="single" w:sz="4" w:space="0" w:color="auto"/>
                    <w:right w:val="single" w:sz="4" w:space="0" w:color="auto"/>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Proponowany koszt na 1 osobę szkolenia przeliczony na ceny stałe z 2014 r.</w:t>
                  </w:r>
                </w:p>
              </w:tc>
              <w:tc>
                <w:tcPr>
                  <w:tcW w:w="1134" w:type="dxa"/>
                  <w:tcBorders>
                    <w:top w:val="single" w:sz="4" w:space="0" w:color="auto"/>
                    <w:left w:val="nil"/>
                    <w:bottom w:val="single" w:sz="4" w:space="0" w:color="auto"/>
                    <w:right w:val="nil"/>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Szacowana liczba osób przeszkolonych</w:t>
                  </w:r>
                </w:p>
              </w:tc>
              <w:tc>
                <w:tcPr>
                  <w:tcW w:w="1559" w:type="dxa"/>
                  <w:tcBorders>
                    <w:top w:val="single" w:sz="4" w:space="0" w:color="auto"/>
                    <w:left w:val="single" w:sz="8" w:space="0" w:color="auto"/>
                    <w:bottom w:val="single" w:sz="4" w:space="0" w:color="auto"/>
                    <w:right w:val="single" w:sz="4" w:space="0" w:color="auto"/>
                  </w:tcBorders>
                  <w:shd w:val="clear" w:color="000000" w:fill="F2DCDB"/>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Łączna liczba przeszkolonych</w:t>
                  </w:r>
                </w:p>
              </w:tc>
            </w:tr>
            <w:tr w:rsidR="00560461" w:rsidRPr="0017373C" w:rsidTr="00004677">
              <w:trPr>
                <w:trHeight w:val="525"/>
              </w:trPr>
              <w:tc>
                <w:tcPr>
                  <w:tcW w:w="851" w:type="dxa"/>
                  <w:vMerge w:val="restart"/>
                  <w:tcBorders>
                    <w:top w:val="nil"/>
                    <w:left w:val="single" w:sz="4" w:space="0" w:color="auto"/>
                    <w:bottom w:val="single" w:sz="8" w:space="0" w:color="000000"/>
                    <w:right w:val="single" w:sz="4" w:space="0" w:color="auto"/>
                  </w:tcBorders>
                  <w:shd w:val="clear" w:color="000000" w:fill="DA9694"/>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Regiony słabiej rozwinięte</w:t>
                  </w:r>
                </w:p>
              </w:tc>
              <w:tc>
                <w:tcPr>
                  <w:tcW w:w="1276" w:type="dxa"/>
                  <w:tcBorders>
                    <w:top w:val="nil"/>
                    <w:left w:val="nil"/>
                    <w:bottom w:val="single" w:sz="4" w:space="0" w:color="auto"/>
                    <w:right w:val="single" w:sz="4" w:space="0" w:color="auto"/>
                  </w:tcBorders>
                  <w:shd w:val="clear" w:color="auto" w:fill="auto"/>
                  <w:vAlign w:val="bottom"/>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r w:rsidRPr="0017373C">
                    <w:rPr>
                      <w:rFonts w:eastAsia="Times New Roman" w:cs="Calibri"/>
                      <w:b/>
                      <w:bCs/>
                      <w:color w:val="000000"/>
                      <w:sz w:val="14"/>
                      <w:szCs w:val="20"/>
                      <w:lang w:eastAsia="pl-PL"/>
                    </w:rPr>
                    <w:t>Szkolenie ponadpodstawowe</w:t>
                  </w:r>
                </w:p>
              </w:tc>
              <w:tc>
                <w:tcPr>
                  <w:tcW w:w="993" w:type="dxa"/>
                  <w:tcBorders>
                    <w:top w:val="nil"/>
                    <w:left w:val="nil"/>
                    <w:bottom w:val="single" w:sz="4" w:space="0" w:color="auto"/>
                    <w:right w:val="single" w:sz="4" w:space="0" w:color="auto"/>
                  </w:tcBorders>
                  <w:shd w:val="clear" w:color="auto" w:fill="auto"/>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121 771 391</w:t>
                  </w:r>
                </w:p>
              </w:tc>
              <w:tc>
                <w:tcPr>
                  <w:tcW w:w="1416" w:type="dxa"/>
                  <w:tcBorders>
                    <w:top w:val="nil"/>
                    <w:left w:val="nil"/>
                    <w:bottom w:val="single" w:sz="4" w:space="0" w:color="auto"/>
                    <w:right w:val="single" w:sz="4" w:space="0" w:color="auto"/>
                  </w:tcBorders>
                  <w:shd w:val="clear" w:color="auto" w:fill="auto"/>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700</w:t>
                  </w:r>
                </w:p>
              </w:tc>
              <w:tc>
                <w:tcPr>
                  <w:tcW w:w="1418" w:type="dxa"/>
                  <w:tcBorders>
                    <w:top w:val="nil"/>
                    <w:left w:val="nil"/>
                    <w:bottom w:val="single" w:sz="4" w:space="0" w:color="auto"/>
                    <w:right w:val="single" w:sz="4" w:space="0" w:color="auto"/>
                  </w:tcBorders>
                  <w:shd w:val="clear" w:color="auto" w:fill="auto"/>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743</w:t>
                  </w:r>
                </w:p>
              </w:tc>
              <w:tc>
                <w:tcPr>
                  <w:tcW w:w="1134" w:type="dxa"/>
                  <w:tcBorders>
                    <w:top w:val="nil"/>
                    <w:left w:val="nil"/>
                    <w:bottom w:val="single" w:sz="4" w:space="0" w:color="auto"/>
                    <w:right w:val="nil"/>
                  </w:tcBorders>
                  <w:shd w:val="clear" w:color="000000" w:fill="DA9694"/>
                  <w:vAlign w:val="center"/>
                </w:tcPr>
                <w:p w:rsidR="00560461" w:rsidRPr="002D4935" w:rsidRDefault="00560461" w:rsidP="00004677">
                  <w:pPr>
                    <w:keepNext/>
                    <w:keepLines/>
                    <w:pageBreakBefore/>
                    <w:spacing w:after="0" w:line="240" w:lineRule="auto"/>
                    <w:jc w:val="right"/>
                    <w:rPr>
                      <w:rFonts w:eastAsia="Times New Roman" w:cs="Calibri"/>
                      <w:b/>
                      <w:bCs/>
                      <w:color w:val="000000"/>
                      <w:sz w:val="14"/>
                      <w:szCs w:val="18"/>
                      <w:lang w:eastAsia="pl-PL"/>
                    </w:rPr>
                  </w:pPr>
                  <w:r w:rsidRPr="002D4935">
                    <w:rPr>
                      <w:rFonts w:eastAsia="Times New Roman" w:cs="Calibri"/>
                      <w:b/>
                      <w:bCs/>
                      <w:color w:val="000000"/>
                      <w:sz w:val="14"/>
                      <w:szCs w:val="18"/>
                      <w:lang w:eastAsia="pl-PL"/>
                    </w:rPr>
                    <w:t>163 940</w:t>
                  </w:r>
                </w:p>
              </w:tc>
              <w:tc>
                <w:tcPr>
                  <w:tcW w:w="1559" w:type="dxa"/>
                  <w:vMerge w:val="restart"/>
                  <w:tcBorders>
                    <w:top w:val="nil"/>
                    <w:left w:val="single" w:sz="8" w:space="0" w:color="auto"/>
                    <w:bottom w:val="single" w:sz="8" w:space="0" w:color="000000"/>
                    <w:right w:val="single" w:sz="4" w:space="0" w:color="auto"/>
                  </w:tcBorders>
                  <w:shd w:val="clear" w:color="000000" w:fill="DA9694"/>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372 535</w:t>
                  </w:r>
                </w:p>
              </w:tc>
            </w:tr>
            <w:tr w:rsidR="00560461" w:rsidRPr="0017373C" w:rsidTr="00004677">
              <w:trPr>
                <w:trHeight w:val="540"/>
              </w:trPr>
              <w:tc>
                <w:tcPr>
                  <w:tcW w:w="851" w:type="dxa"/>
                  <w:vMerge/>
                  <w:tcBorders>
                    <w:top w:val="nil"/>
                    <w:left w:val="single" w:sz="4" w:space="0" w:color="auto"/>
                    <w:bottom w:val="single" w:sz="8" w:space="0" w:color="000000"/>
                    <w:right w:val="single" w:sz="4" w:space="0" w:color="auto"/>
                  </w:tcBorders>
                  <w:vAlign w:val="center"/>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p>
              </w:tc>
              <w:tc>
                <w:tcPr>
                  <w:tcW w:w="1276" w:type="dxa"/>
                  <w:tcBorders>
                    <w:top w:val="nil"/>
                    <w:left w:val="nil"/>
                    <w:bottom w:val="single" w:sz="8" w:space="0" w:color="auto"/>
                    <w:right w:val="single" w:sz="4" w:space="0" w:color="auto"/>
                  </w:tcBorders>
                  <w:shd w:val="clear" w:color="auto" w:fill="auto"/>
                  <w:vAlign w:val="bottom"/>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r w:rsidRPr="0017373C">
                    <w:rPr>
                      <w:rFonts w:eastAsia="Times New Roman" w:cs="Calibri"/>
                      <w:b/>
                      <w:bCs/>
                      <w:color w:val="000000"/>
                      <w:sz w:val="14"/>
                      <w:szCs w:val="20"/>
                      <w:lang w:eastAsia="pl-PL"/>
                    </w:rPr>
                    <w:t>Szkolenie podstawowe</w:t>
                  </w:r>
                </w:p>
              </w:tc>
              <w:tc>
                <w:tcPr>
                  <w:tcW w:w="993" w:type="dxa"/>
                  <w:tcBorders>
                    <w:top w:val="nil"/>
                    <w:left w:val="nil"/>
                    <w:bottom w:val="single" w:sz="8" w:space="0" w:color="auto"/>
                    <w:right w:val="single" w:sz="4" w:space="0" w:color="auto"/>
                  </w:tcBorders>
                  <w:shd w:val="clear" w:color="auto" w:fill="auto"/>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81 180 927</w:t>
                  </w:r>
                </w:p>
              </w:tc>
              <w:tc>
                <w:tcPr>
                  <w:tcW w:w="1416" w:type="dxa"/>
                  <w:tcBorders>
                    <w:top w:val="nil"/>
                    <w:left w:val="nil"/>
                    <w:bottom w:val="single" w:sz="8" w:space="0" w:color="auto"/>
                    <w:right w:val="single" w:sz="4" w:space="0" w:color="auto"/>
                  </w:tcBorders>
                  <w:shd w:val="clear" w:color="auto" w:fill="auto"/>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367</w:t>
                  </w:r>
                </w:p>
              </w:tc>
              <w:tc>
                <w:tcPr>
                  <w:tcW w:w="1418" w:type="dxa"/>
                  <w:tcBorders>
                    <w:top w:val="nil"/>
                    <w:left w:val="nil"/>
                    <w:bottom w:val="single" w:sz="8"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389</w:t>
                  </w:r>
                </w:p>
              </w:tc>
              <w:tc>
                <w:tcPr>
                  <w:tcW w:w="1134" w:type="dxa"/>
                  <w:tcBorders>
                    <w:top w:val="nil"/>
                    <w:left w:val="nil"/>
                    <w:bottom w:val="single" w:sz="8" w:space="0" w:color="auto"/>
                    <w:right w:val="nil"/>
                  </w:tcBorders>
                  <w:shd w:val="clear" w:color="000000" w:fill="DA9694"/>
                  <w:vAlign w:val="center"/>
                </w:tcPr>
                <w:p w:rsidR="00560461" w:rsidRPr="002D4935" w:rsidRDefault="00560461" w:rsidP="00004677">
                  <w:pPr>
                    <w:keepNext/>
                    <w:keepLines/>
                    <w:pageBreakBefore/>
                    <w:spacing w:after="0" w:line="240" w:lineRule="auto"/>
                    <w:jc w:val="right"/>
                    <w:rPr>
                      <w:rFonts w:eastAsia="Times New Roman" w:cs="Calibri"/>
                      <w:b/>
                      <w:bCs/>
                      <w:color w:val="000000"/>
                      <w:sz w:val="14"/>
                      <w:szCs w:val="18"/>
                      <w:lang w:eastAsia="pl-PL"/>
                    </w:rPr>
                  </w:pPr>
                  <w:r w:rsidRPr="002D4935">
                    <w:rPr>
                      <w:rFonts w:eastAsia="Times New Roman" w:cs="Calibri"/>
                      <w:b/>
                      <w:bCs/>
                      <w:color w:val="000000"/>
                      <w:sz w:val="14"/>
                      <w:szCs w:val="18"/>
                      <w:lang w:eastAsia="pl-PL"/>
                    </w:rPr>
                    <w:t>208 595</w:t>
                  </w:r>
                </w:p>
              </w:tc>
              <w:tc>
                <w:tcPr>
                  <w:tcW w:w="1559" w:type="dxa"/>
                  <w:vMerge/>
                  <w:tcBorders>
                    <w:top w:val="nil"/>
                    <w:left w:val="single" w:sz="8" w:space="0" w:color="auto"/>
                    <w:bottom w:val="single" w:sz="8" w:space="0" w:color="000000"/>
                    <w:right w:val="single" w:sz="4" w:space="0" w:color="auto"/>
                  </w:tcBorders>
                  <w:vAlign w:val="center"/>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p>
              </w:tc>
            </w:tr>
            <w:tr w:rsidR="00560461" w:rsidRPr="0017373C" w:rsidTr="00004677">
              <w:trPr>
                <w:trHeight w:val="525"/>
              </w:trPr>
              <w:tc>
                <w:tcPr>
                  <w:tcW w:w="851" w:type="dxa"/>
                  <w:vMerge w:val="restart"/>
                  <w:tcBorders>
                    <w:top w:val="nil"/>
                    <w:left w:val="single" w:sz="4" w:space="0" w:color="auto"/>
                    <w:bottom w:val="single" w:sz="4" w:space="0" w:color="auto"/>
                    <w:right w:val="single" w:sz="4" w:space="0" w:color="auto"/>
                  </w:tcBorders>
                  <w:shd w:val="clear" w:color="000000" w:fill="C4BD97"/>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Region lepiej rozwinięty</w:t>
                  </w:r>
                </w:p>
              </w:tc>
              <w:tc>
                <w:tcPr>
                  <w:tcW w:w="1276" w:type="dxa"/>
                  <w:tcBorders>
                    <w:top w:val="nil"/>
                    <w:left w:val="nil"/>
                    <w:bottom w:val="single" w:sz="4" w:space="0" w:color="auto"/>
                    <w:right w:val="single" w:sz="4" w:space="0" w:color="auto"/>
                  </w:tcBorders>
                  <w:shd w:val="clear" w:color="auto" w:fill="auto"/>
                  <w:vAlign w:val="bottom"/>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r w:rsidRPr="0017373C">
                    <w:rPr>
                      <w:rFonts w:eastAsia="Times New Roman" w:cs="Calibri"/>
                      <w:b/>
                      <w:bCs/>
                      <w:color w:val="000000"/>
                      <w:sz w:val="14"/>
                      <w:szCs w:val="20"/>
                      <w:lang w:eastAsia="pl-PL"/>
                    </w:rPr>
                    <w:t>Szkolenie ponadpodstawowe</w:t>
                  </w:r>
                </w:p>
              </w:tc>
              <w:tc>
                <w:tcPr>
                  <w:tcW w:w="993" w:type="dxa"/>
                  <w:tcBorders>
                    <w:top w:val="nil"/>
                    <w:left w:val="nil"/>
                    <w:bottom w:val="single" w:sz="4"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9 738 438</w:t>
                  </w:r>
                </w:p>
              </w:tc>
              <w:tc>
                <w:tcPr>
                  <w:tcW w:w="1416" w:type="dxa"/>
                  <w:tcBorders>
                    <w:top w:val="nil"/>
                    <w:left w:val="nil"/>
                    <w:bottom w:val="single" w:sz="4"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700</w:t>
                  </w:r>
                </w:p>
              </w:tc>
              <w:tc>
                <w:tcPr>
                  <w:tcW w:w="1418" w:type="dxa"/>
                  <w:tcBorders>
                    <w:top w:val="nil"/>
                    <w:left w:val="nil"/>
                    <w:bottom w:val="single" w:sz="4"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743</w:t>
                  </w:r>
                </w:p>
              </w:tc>
              <w:tc>
                <w:tcPr>
                  <w:tcW w:w="1134" w:type="dxa"/>
                  <w:tcBorders>
                    <w:top w:val="nil"/>
                    <w:left w:val="nil"/>
                    <w:bottom w:val="single" w:sz="4" w:space="0" w:color="auto"/>
                    <w:right w:val="nil"/>
                  </w:tcBorders>
                  <w:shd w:val="clear" w:color="000000" w:fill="C4BD97"/>
                  <w:vAlign w:val="center"/>
                </w:tcPr>
                <w:p w:rsidR="00560461" w:rsidRPr="002D4935" w:rsidRDefault="00560461" w:rsidP="00004677">
                  <w:pPr>
                    <w:keepNext/>
                    <w:keepLines/>
                    <w:pageBreakBefore/>
                    <w:spacing w:after="0" w:line="240" w:lineRule="auto"/>
                    <w:jc w:val="right"/>
                    <w:rPr>
                      <w:rFonts w:eastAsia="Times New Roman" w:cs="Calibri"/>
                      <w:b/>
                      <w:bCs/>
                      <w:color w:val="000000"/>
                      <w:sz w:val="14"/>
                      <w:szCs w:val="18"/>
                      <w:lang w:eastAsia="pl-PL"/>
                    </w:rPr>
                  </w:pPr>
                  <w:r w:rsidRPr="002D4935">
                    <w:rPr>
                      <w:rFonts w:eastAsia="Times New Roman" w:cs="Calibri"/>
                      <w:b/>
                      <w:bCs/>
                      <w:color w:val="000000"/>
                      <w:sz w:val="14"/>
                      <w:szCs w:val="18"/>
                      <w:lang w:eastAsia="pl-PL"/>
                    </w:rPr>
                    <w:t>13 111</w:t>
                  </w:r>
                </w:p>
              </w:tc>
              <w:tc>
                <w:tcPr>
                  <w:tcW w:w="1559" w:type="dxa"/>
                  <w:vMerge w:val="restart"/>
                  <w:tcBorders>
                    <w:top w:val="nil"/>
                    <w:left w:val="single" w:sz="8" w:space="0" w:color="auto"/>
                    <w:bottom w:val="single" w:sz="4" w:space="0" w:color="000000"/>
                    <w:right w:val="single" w:sz="4" w:space="0" w:color="auto"/>
                  </w:tcBorders>
                  <w:shd w:val="clear" w:color="000000" w:fill="C4BD97"/>
                  <w:vAlign w:val="center"/>
                </w:tcPr>
                <w:p w:rsidR="00560461" w:rsidRPr="0017373C" w:rsidRDefault="00560461" w:rsidP="00004677">
                  <w:pPr>
                    <w:keepNext/>
                    <w:keepLines/>
                    <w:pageBreakBefore/>
                    <w:spacing w:after="0" w:line="240" w:lineRule="auto"/>
                    <w:jc w:val="center"/>
                    <w:rPr>
                      <w:rFonts w:eastAsia="Times New Roman" w:cs="Calibri"/>
                      <w:b/>
                      <w:bCs/>
                      <w:color w:val="000000"/>
                      <w:sz w:val="14"/>
                      <w:szCs w:val="20"/>
                      <w:lang w:eastAsia="pl-PL"/>
                    </w:rPr>
                  </w:pPr>
                  <w:r w:rsidRPr="0017373C">
                    <w:rPr>
                      <w:rFonts w:eastAsia="Times New Roman" w:cs="Calibri"/>
                      <w:b/>
                      <w:bCs/>
                      <w:color w:val="000000"/>
                      <w:sz w:val="14"/>
                      <w:szCs w:val="20"/>
                      <w:lang w:eastAsia="pl-PL"/>
                    </w:rPr>
                    <w:t>27 070</w:t>
                  </w:r>
                </w:p>
              </w:tc>
            </w:tr>
            <w:tr w:rsidR="00560461" w:rsidRPr="0017373C" w:rsidTr="00004677">
              <w:trPr>
                <w:trHeight w:val="525"/>
              </w:trPr>
              <w:tc>
                <w:tcPr>
                  <w:tcW w:w="851" w:type="dxa"/>
                  <w:vMerge/>
                  <w:tcBorders>
                    <w:top w:val="nil"/>
                    <w:left w:val="single" w:sz="4" w:space="0" w:color="auto"/>
                    <w:bottom w:val="single" w:sz="4" w:space="0" w:color="auto"/>
                    <w:right w:val="single" w:sz="4" w:space="0" w:color="auto"/>
                  </w:tcBorders>
                  <w:vAlign w:val="center"/>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560461" w:rsidRPr="0017373C" w:rsidRDefault="00560461" w:rsidP="00004677">
                  <w:pPr>
                    <w:keepNext/>
                    <w:keepLines/>
                    <w:pageBreakBefore/>
                    <w:spacing w:after="0" w:line="240" w:lineRule="auto"/>
                    <w:rPr>
                      <w:rFonts w:eastAsia="Times New Roman" w:cs="Calibri"/>
                      <w:b/>
                      <w:bCs/>
                      <w:color w:val="000000"/>
                      <w:sz w:val="14"/>
                      <w:szCs w:val="20"/>
                      <w:lang w:eastAsia="pl-PL"/>
                    </w:rPr>
                  </w:pPr>
                  <w:r w:rsidRPr="0017373C">
                    <w:rPr>
                      <w:rFonts w:eastAsia="Times New Roman" w:cs="Calibri"/>
                      <w:b/>
                      <w:bCs/>
                      <w:color w:val="000000"/>
                      <w:sz w:val="14"/>
                      <w:szCs w:val="20"/>
                      <w:lang w:eastAsia="pl-PL"/>
                    </w:rPr>
                    <w:t>Szkolenie podstawowe</w:t>
                  </w:r>
                </w:p>
              </w:tc>
              <w:tc>
                <w:tcPr>
                  <w:tcW w:w="993" w:type="dxa"/>
                  <w:tcBorders>
                    <w:top w:val="nil"/>
                    <w:left w:val="nil"/>
                    <w:bottom w:val="single" w:sz="4"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A2554F">
                    <w:rPr>
                      <w:rFonts w:eastAsia="Times New Roman" w:cs="Calibri"/>
                      <w:color w:val="000000"/>
                      <w:sz w:val="14"/>
                      <w:szCs w:val="18"/>
                      <w:lang w:eastAsia="pl-PL"/>
                    </w:rPr>
                    <w:t>1 036 714</w:t>
                  </w:r>
                  <w:r w:rsidRPr="002D4935">
                    <w:rPr>
                      <w:rFonts w:eastAsia="Times New Roman" w:cs="Calibri"/>
                      <w:color w:val="000000"/>
                      <w:sz w:val="14"/>
                      <w:szCs w:val="18"/>
                      <w:lang w:eastAsia="pl-PL"/>
                    </w:rPr>
                    <w:t>6 492 292</w:t>
                  </w:r>
                </w:p>
              </w:tc>
              <w:tc>
                <w:tcPr>
                  <w:tcW w:w="1416" w:type="dxa"/>
                  <w:tcBorders>
                    <w:top w:val="nil"/>
                    <w:left w:val="nil"/>
                    <w:bottom w:val="single" w:sz="4"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438</w:t>
                  </w:r>
                </w:p>
              </w:tc>
              <w:tc>
                <w:tcPr>
                  <w:tcW w:w="1418" w:type="dxa"/>
                  <w:tcBorders>
                    <w:top w:val="nil"/>
                    <w:left w:val="nil"/>
                    <w:bottom w:val="single" w:sz="4" w:space="0" w:color="auto"/>
                    <w:right w:val="single" w:sz="4" w:space="0" w:color="auto"/>
                  </w:tcBorders>
                  <w:shd w:val="clear" w:color="000000" w:fill="FFFFFF"/>
                  <w:noWrap/>
                  <w:vAlign w:val="center"/>
                </w:tcPr>
                <w:p w:rsidR="00560461" w:rsidRPr="002D4935" w:rsidRDefault="00560461" w:rsidP="00004677">
                  <w:pPr>
                    <w:keepNext/>
                    <w:keepLines/>
                    <w:pageBreakBefore/>
                    <w:spacing w:after="0" w:line="240" w:lineRule="auto"/>
                    <w:jc w:val="right"/>
                    <w:rPr>
                      <w:rFonts w:eastAsia="Times New Roman" w:cs="Calibri"/>
                      <w:color w:val="000000"/>
                      <w:sz w:val="14"/>
                      <w:szCs w:val="18"/>
                      <w:lang w:eastAsia="pl-PL"/>
                    </w:rPr>
                  </w:pPr>
                  <w:r w:rsidRPr="002D4935">
                    <w:rPr>
                      <w:rFonts w:eastAsia="Times New Roman" w:cs="Calibri"/>
                      <w:color w:val="000000"/>
                      <w:sz w:val="14"/>
                      <w:szCs w:val="18"/>
                      <w:lang w:eastAsia="pl-PL"/>
                    </w:rPr>
                    <w:t>465</w:t>
                  </w:r>
                </w:p>
              </w:tc>
              <w:tc>
                <w:tcPr>
                  <w:tcW w:w="1134" w:type="dxa"/>
                  <w:tcBorders>
                    <w:top w:val="nil"/>
                    <w:left w:val="nil"/>
                    <w:bottom w:val="single" w:sz="4" w:space="0" w:color="auto"/>
                    <w:right w:val="nil"/>
                  </w:tcBorders>
                  <w:shd w:val="clear" w:color="000000" w:fill="C4BD97"/>
                  <w:vAlign w:val="center"/>
                </w:tcPr>
                <w:p w:rsidR="00560461" w:rsidRPr="002D4935" w:rsidRDefault="00560461" w:rsidP="00004677">
                  <w:pPr>
                    <w:keepNext/>
                    <w:keepLines/>
                    <w:pageBreakBefore/>
                    <w:spacing w:after="0" w:line="240" w:lineRule="auto"/>
                    <w:jc w:val="right"/>
                    <w:rPr>
                      <w:rFonts w:eastAsia="Times New Roman" w:cs="Calibri"/>
                      <w:b/>
                      <w:bCs/>
                      <w:color w:val="000000"/>
                      <w:sz w:val="14"/>
                      <w:szCs w:val="18"/>
                      <w:lang w:eastAsia="pl-PL"/>
                    </w:rPr>
                  </w:pPr>
                  <w:r w:rsidRPr="002D4935">
                    <w:rPr>
                      <w:rFonts w:eastAsia="Times New Roman" w:cs="Calibri"/>
                      <w:b/>
                      <w:bCs/>
                      <w:color w:val="000000"/>
                      <w:sz w:val="14"/>
                      <w:szCs w:val="18"/>
                      <w:lang w:eastAsia="pl-PL"/>
                    </w:rPr>
                    <w:t>13 959</w:t>
                  </w:r>
                </w:p>
              </w:tc>
              <w:tc>
                <w:tcPr>
                  <w:tcW w:w="1559" w:type="dxa"/>
                  <w:vMerge/>
                  <w:tcBorders>
                    <w:top w:val="nil"/>
                    <w:left w:val="single" w:sz="8" w:space="0" w:color="auto"/>
                    <w:bottom w:val="single" w:sz="4" w:space="0" w:color="000000"/>
                    <w:right w:val="single" w:sz="4" w:space="0" w:color="auto"/>
                  </w:tcBorders>
                  <w:vAlign w:val="center"/>
                </w:tcPr>
                <w:p w:rsidR="00560461" w:rsidRPr="0017373C" w:rsidRDefault="00560461" w:rsidP="00004677">
                  <w:pPr>
                    <w:keepNext/>
                    <w:keepLines/>
                    <w:pageBreakBefore/>
                    <w:spacing w:after="0" w:line="240" w:lineRule="auto"/>
                    <w:rPr>
                      <w:rFonts w:eastAsia="Times New Roman" w:cs="Calibri"/>
                      <w:b/>
                      <w:bCs/>
                      <w:color w:val="000000"/>
                      <w:sz w:val="20"/>
                      <w:szCs w:val="20"/>
                      <w:lang w:eastAsia="pl-PL"/>
                    </w:rPr>
                  </w:pPr>
                </w:p>
              </w:tc>
            </w:tr>
          </w:tbl>
          <w:p w:rsidR="00560461" w:rsidRPr="00A2554F" w:rsidRDefault="00560461" w:rsidP="00004677">
            <w:pPr>
              <w:keepNext/>
              <w:keepLines/>
              <w:pageBreakBefore/>
              <w:tabs>
                <w:tab w:val="left" w:pos="709"/>
              </w:tabs>
              <w:suppressAutoHyphens/>
              <w:spacing w:after="120"/>
              <w:ind w:left="142"/>
              <w:jc w:val="both"/>
              <w:rPr>
                <w:rFonts w:cs="Calibri"/>
                <w:sz w:val="20"/>
                <w:lang w:eastAsia="ar-SA"/>
              </w:rPr>
            </w:pPr>
          </w:p>
          <w:p w:rsidR="00560461" w:rsidRPr="007B123A" w:rsidRDefault="00560461" w:rsidP="00004677">
            <w:pPr>
              <w:tabs>
                <w:tab w:val="left" w:pos="709"/>
              </w:tabs>
              <w:suppressAutoHyphens/>
              <w:spacing w:after="120"/>
              <w:jc w:val="both"/>
              <w:rPr>
                <w:rFonts w:cs="Calibri"/>
                <w:b/>
                <w:sz w:val="20"/>
                <w:szCs w:val="20"/>
                <w:u w:val="single"/>
                <w:lang w:eastAsia="ar-SA"/>
              </w:rPr>
            </w:pPr>
          </w:p>
          <w:p w:rsidR="00560461" w:rsidRPr="00943C80" w:rsidRDefault="00560461" w:rsidP="00004677">
            <w:pPr>
              <w:tabs>
                <w:tab w:val="left" w:pos="709"/>
              </w:tabs>
              <w:suppressAutoHyphens/>
              <w:spacing w:after="120" w:line="240" w:lineRule="auto"/>
              <w:ind w:left="360"/>
              <w:jc w:val="both"/>
              <w:rPr>
                <w:rFonts w:cs="Calibri"/>
                <w:b/>
                <w:sz w:val="20"/>
                <w:szCs w:val="20"/>
                <w:lang w:eastAsia="ar-SA"/>
              </w:rPr>
            </w:pPr>
            <w:r w:rsidRPr="00943C80">
              <w:rPr>
                <w:rFonts w:cs="Calibri"/>
                <w:b/>
                <w:sz w:val="20"/>
                <w:szCs w:val="20"/>
                <w:lang w:eastAsia="ar-SA"/>
              </w:rPr>
              <w:t>4) Podział środków w ramach działania 3.2 POPC</w:t>
            </w: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sidRPr="00943C80">
              <w:rPr>
                <w:rFonts w:cs="Calibri"/>
                <w:sz w:val="20"/>
                <w:szCs w:val="20"/>
                <w:lang w:eastAsia="ar-SA"/>
              </w:rPr>
              <w:t xml:space="preserve">W zakresie działania 3.2 POPC, </w:t>
            </w:r>
            <w:r>
              <w:rPr>
                <w:rFonts w:cs="Calibri"/>
                <w:sz w:val="20"/>
                <w:szCs w:val="20"/>
                <w:lang w:eastAsia="ar-SA"/>
              </w:rPr>
              <w:t xml:space="preserve">głównym </w:t>
            </w:r>
            <w:r w:rsidRPr="00943C80">
              <w:rPr>
                <w:rFonts w:cs="Calibri"/>
                <w:sz w:val="20"/>
                <w:szCs w:val="20"/>
                <w:lang w:eastAsia="ar-SA"/>
              </w:rPr>
              <w:t>celem będzie rozwijanie kompetencji naucz</w:t>
            </w:r>
            <w:r>
              <w:rPr>
                <w:rFonts w:cs="Calibri"/>
                <w:sz w:val="20"/>
                <w:szCs w:val="20"/>
                <w:lang w:eastAsia="ar-SA"/>
              </w:rPr>
              <w:t>y</w:t>
            </w:r>
            <w:r w:rsidRPr="00943C80">
              <w:rPr>
                <w:rFonts w:cs="Calibri"/>
                <w:sz w:val="20"/>
                <w:szCs w:val="20"/>
                <w:lang w:eastAsia="ar-SA"/>
              </w:rPr>
              <w:t>cieli edukacji wczesnoszkolnej umożliwiających prowadzenie zajęć pozalekcyjnych dla uczniów klas 1-3 szkoły podstawowej</w:t>
            </w:r>
            <w:r>
              <w:rPr>
                <w:rFonts w:cs="Calibri"/>
                <w:sz w:val="20"/>
                <w:szCs w:val="20"/>
                <w:lang w:eastAsia="ar-SA"/>
              </w:rPr>
              <w:t xml:space="preserve">. </w:t>
            </w: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Pr>
                <w:rFonts w:cs="Calibri"/>
                <w:sz w:val="20"/>
                <w:szCs w:val="20"/>
                <w:lang w:eastAsia="ar-SA"/>
              </w:rPr>
              <w:t xml:space="preserve">W ramach wskaźnika </w:t>
            </w:r>
            <w:r w:rsidRPr="00492F06">
              <w:rPr>
                <w:rFonts w:cs="Calibri"/>
                <w:sz w:val="20"/>
                <w:szCs w:val="20"/>
                <w:lang w:eastAsia="ar-SA"/>
              </w:rPr>
              <w:t xml:space="preserve">Liczba osób objętych szkoleniami / doradztwem w zakresie kompetencji cyfrowych </w:t>
            </w:r>
            <w:r>
              <w:rPr>
                <w:rFonts w:cs="Calibri"/>
                <w:sz w:val="20"/>
                <w:szCs w:val="20"/>
                <w:lang w:eastAsia="ar-SA"/>
              </w:rPr>
              <w:t>będą monitorowane szkolone osoby tj. nauczyciele oraz uczniowie. Powyższy wskaźnik będzie następnie agregowany do wskaźnika</w:t>
            </w:r>
            <w:r w:rsidRPr="00943C80">
              <w:rPr>
                <w:rFonts w:cs="Calibri"/>
                <w:i/>
                <w:sz w:val="20"/>
                <w:szCs w:val="20"/>
                <w:lang w:eastAsia="ar-SA"/>
              </w:rPr>
              <w:t xml:space="preserve"> Liczba osób objętych działaniami szkoleniowymi w zakresie korzystania z Internetu (w tym e-usług)</w:t>
            </w:r>
            <w:r>
              <w:rPr>
                <w:rFonts w:cs="Calibri"/>
                <w:sz w:val="20"/>
                <w:szCs w:val="20"/>
                <w:lang w:eastAsia="ar-SA"/>
              </w:rPr>
              <w:t>.</w:t>
            </w:r>
          </w:p>
          <w:p w:rsidR="00560461" w:rsidRPr="0017373C" w:rsidRDefault="00560461" w:rsidP="00004677">
            <w:pPr>
              <w:keepNext/>
              <w:keepLines/>
              <w:pageBreakBefore/>
              <w:tabs>
                <w:tab w:val="left" w:pos="709"/>
              </w:tabs>
              <w:suppressAutoHyphens/>
              <w:spacing w:after="120"/>
              <w:ind w:left="142"/>
              <w:jc w:val="both"/>
              <w:rPr>
                <w:rFonts w:cs="Calibri"/>
                <w:lang w:eastAsia="ar-SA"/>
              </w:rPr>
            </w:pPr>
            <w:r>
              <w:rPr>
                <w:rFonts w:cs="Calibri"/>
                <w:sz w:val="20"/>
                <w:szCs w:val="20"/>
                <w:lang w:eastAsia="ar-SA"/>
              </w:rPr>
              <w:t xml:space="preserve">W </w:t>
            </w:r>
            <w:r w:rsidRPr="0017373C">
              <w:rPr>
                <w:rFonts w:cs="Calibri"/>
                <w:sz w:val="20"/>
                <w:szCs w:val="20"/>
                <w:lang w:eastAsia="ar-SA"/>
              </w:rPr>
              <w:t xml:space="preserve">celu określenia alokacji przeznaczonej bezpośrednio na szkolenia uczestników, dostępne środki, wyliczone </w:t>
            </w:r>
            <w:r>
              <w:rPr>
                <w:rFonts w:cs="Calibri"/>
                <w:sz w:val="20"/>
                <w:szCs w:val="20"/>
                <w:lang w:eastAsia="ar-SA"/>
              </w:rPr>
              <w:t>w pkt 1 (tabela…)</w:t>
            </w:r>
            <w:r w:rsidRPr="0017373C">
              <w:rPr>
                <w:rFonts w:cs="Calibri"/>
                <w:sz w:val="20"/>
                <w:szCs w:val="20"/>
                <w:lang w:eastAsia="ar-SA"/>
              </w:rPr>
              <w:t>, należy pomniejszyć o kwoty:</w:t>
            </w:r>
          </w:p>
          <w:p w:rsidR="00560461" w:rsidRDefault="00560461" w:rsidP="00560461">
            <w:pPr>
              <w:numPr>
                <w:ilvl w:val="1"/>
                <w:numId w:val="24"/>
              </w:numPr>
              <w:tabs>
                <w:tab w:val="left" w:pos="709"/>
              </w:tabs>
              <w:suppressAutoHyphens/>
              <w:spacing w:before="120" w:after="120" w:line="240" w:lineRule="auto"/>
              <w:jc w:val="both"/>
              <w:rPr>
                <w:rFonts w:cs="Calibri"/>
                <w:sz w:val="20"/>
                <w:szCs w:val="20"/>
                <w:lang w:eastAsia="ar-SA"/>
              </w:rPr>
            </w:pPr>
            <w:r w:rsidRPr="00492F06">
              <w:rPr>
                <w:rFonts w:cs="Calibri"/>
                <w:sz w:val="20"/>
                <w:szCs w:val="20"/>
                <w:lang w:eastAsia="ar-SA"/>
              </w:rPr>
              <w:t xml:space="preserve">kosztów </w:t>
            </w:r>
            <w:r>
              <w:rPr>
                <w:rFonts w:cs="Calibri"/>
                <w:sz w:val="20"/>
                <w:szCs w:val="20"/>
                <w:lang w:eastAsia="ar-SA"/>
              </w:rPr>
              <w:t>zarządzania projektów,</w:t>
            </w:r>
          </w:p>
          <w:p w:rsidR="00560461" w:rsidRDefault="00560461" w:rsidP="00560461">
            <w:pPr>
              <w:numPr>
                <w:ilvl w:val="1"/>
                <w:numId w:val="24"/>
              </w:numPr>
              <w:tabs>
                <w:tab w:val="left" w:pos="709"/>
              </w:tabs>
              <w:suppressAutoHyphens/>
              <w:spacing w:before="120" w:after="120" w:line="240" w:lineRule="auto"/>
              <w:jc w:val="both"/>
              <w:rPr>
                <w:rFonts w:cs="Calibri"/>
                <w:sz w:val="20"/>
                <w:szCs w:val="20"/>
                <w:lang w:eastAsia="ar-SA"/>
              </w:rPr>
            </w:pPr>
            <w:r>
              <w:rPr>
                <w:rFonts w:cs="Calibri"/>
                <w:sz w:val="20"/>
                <w:szCs w:val="20"/>
                <w:lang w:eastAsia="ar-SA"/>
              </w:rPr>
              <w:t>kosztów zakupu środków trwałych</w:t>
            </w:r>
            <w:r w:rsidRPr="00492F06">
              <w:rPr>
                <w:rFonts w:cs="Calibri"/>
                <w:sz w:val="20"/>
                <w:szCs w:val="20"/>
                <w:lang w:eastAsia="ar-SA"/>
              </w:rPr>
              <w:t>,</w:t>
            </w:r>
          </w:p>
          <w:p w:rsidR="00560461" w:rsidRPr="00492F06" w:rsidRDefault="00560461" w:rsidP="00560461">
            <w:pPr>
              <w:numPr>
                <w:ilvl w:val="1"/>
                <w:numId w:val="24"/>
              </w:numPr>
              <w:tabs>
                <w:tab w:val="left" w:pos="709"/>
              </w:tabs>
              <w:suppressAutoHyphens/>
              <w:spacing w:before="120" w:after="120" w:line="240" w:lineRule="auto"/>
              <w:jc w:val="both"/>
              <w:rPr>
                <w:rFonts w:cs="Calibri"/>
                <w:sz w:val="20"/>
                <w:szCs w:val="20"/>
                <w:lang w:eastAsia="ar-SA"/>
              </w:rPr>
            </w:pPr>
            <w:r>
              <w:rPr>
                <w:rFonts w:cs="Calibri"/>
                <w:sz w:val="20"/>
                <w:szCs w:val="20"/>
                <w:lang w:eastAsia="ar-SA"/>
              </w:rPr>
              <w:t xml:space="preserve">innych kosztów, w tym kosztów pośrednich, ubezpieczenia sprzętu, </w:t>
            </w:r>
            <w:r w:rsidRPr="00EF16EC">
              <w:rPr>
                <w:rFonts w:cs="Calibri"/>
                <w:sz w:val="20"/>
                <w:szCs w:val="20"/>
                <w:lang w:eastAsia="ar-SA"/>
              </w:rPr>
              <w:t>zakup, najem lub leasing wartości niematerialnych i prawnyc</w:t>
            </w:r>
            <w:r>
              <w:rPr>
                <w:rFonts w:cs="Calibri"/>
                <w:sz w:val="20"/>
                <w:szCs w:val="20"/>
                <w:lang w:eastAsia="ar-SA"/>
              </w:rPr>
              <w:t>h,</w:t>
            </w:r>
          </w:p>
          <w:p w:rsidR="00560461" w:rsidRPr="00492F06" w:rsidRDefault="00560461" w:rsidP="00560461">
            <w:pPr>
              <w:numPr>
                <w:ilvl w:val="1"/>
                <w:numId w:val="24"/>
              </w:numPr>
              <w:tabs>
                <w:tab w:val="left" w:pos="709"/>
              </w:tabs>
              <w:suppressAutoHyphens/>
              <w:spacing w:before="120" w:after="120" w:line="240" w:lineRule="auto"/>
              <w:jc w:val="both"/>
              <w:rPr>
                <w:rFonts w:cs="Calibri"/>
                <w:sz w:val="20"/>
                <w:szCs w:val="20"/>
                <w:lang w:eastAsia="ar-SA"/>
              </w:rPr>
            </w:pPr>
            <w:r w:rsidRPr="00492F06">
              <w:rPr>
                <w:rFonts w:cs="Calibri"/>
                <w:sz w:val="20"/>
                <w:szCs w:val="20"/>
                <w:lang w:eastAsia="ar-SA"/>
              </w:rPr>
              <w:t xml:space="preserve">kosztów </w:t>
            </w:r>
            <w:r>
              <w:rPr>
                <w:rFonts w:cs="Calibri"/>
                <w:sz w:val="20"/>
                <w:szCs w:val="20"/>
                <w:lang w:eastAsia="ar-SA"/>
              </w:rPr>
              <w:t>przeznaczonych na informację i promocję</w:t>
            </w:r>
            <w:r w:rsidRPr="00492F06">
              <w:rPr>
                <w:rFonts w:cs="Calibri"/>
                <w:sz w:val="20"/>
                <w:szCs w:val="20"/>
                <w:lang w:eastAsia="ar-SA"/>
              </w:rPr>
              <w:t>.</w:t>
            </w: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Pr>
                <w:rFonts w:cs="Calibri"/>
                <w:sz w:val="20"/>
                <w:szCs w:val="20"/>
                <w:lang w:eastAsia="ar-SA"/>
              </w:rPr>
              <w:t>Zgodnie z przyjętymi założeniami, d</w:t>
            </w:r>
            <w:r w:rsidRPr="0081657E">
              <w:rPr>
                <w:rFonts w:cs="Calibri"/>
                <w:sz w:val="20"/>
                <w:szCs w:val="20"/>
                <w:lang w:eastAsia="ar-SA"/>
              </w:rPr>
              <w:t xml:space="preserve">la każdej z ww. kategorii przypisano </w:t>
            </w:r>
            <w:r>
              <w:rPr>
                <w:rFonts w:cs="Calibri"/>
                <w:sz w:val="20"/>
                <w:szCs w:val="20"/>
                <w:lang w:eastAsia="ar-SA"/>
              </w:rPr>
              <w:t>określony %</w:t>
            </w:r>
            <w:r w:rsidRPr="0081657E">
              <w:rPr>
                <w:rFonts w:cs="Calibri"/>
                <w:sz w:val="20"/>
                <w:szCs w:val="20"/>
                <w:lang w:eastAsia="ar-SA"/>
              </w:rPr>
              <w:t xml:space="preserve"> całości alokacji</w:t>
            </w:r>
            <w:r>
              <w:rPr>
                <w:rFonts w:cs="Calibri"/>
                <w:sz w:val="20"/>
                <w:szCs w:val="20"/>
                <w:lang w:eastAsia="ar-SA"/>
              </w:rPr>
              <w:t xml:space="preserve"> dla działania 3.2 POPC</w:t>
            </w:r>
            <w:r w:rsidRPr="0081657E">
              <w:rPr>
                <w:rFonts w:cs="Calibri"/>
                <w:sz w:val="20"/>
                <w:szCs w:val="20"/>
                <w:lang w:eastAsia="ar-SA"/>
              </w:rPr>
              <w:t xml:space="preserve">. W ramach kosztów </w:t>
            </w:r>
            <w:r>
              <w:rPr>
                <w:rFonts w:cs="Calibri"/>
                <w:sz w:val="20"/>
                <w:szCs w:val="20"/>
                <w:lang w:eastAsia="ar-SA"/>
              </w:rPr>
              <w:t xml:space="preserve">w wysokości 10% </w:t>
            </w:r>
            <w:r w:rsidRPr="0081657E">
              <w:rPr>
                <w:rFonts w:cs="Calibri"/>
                <w:sz w:val="20"/>
                <w:szCs w:val="20"/>
                <w:lang w:eastAsia="ar-SA"/>
              </w:rPr>
              <w:t xml:space="preserve">ponoszonych przez beneficjentów (koszty </w:t>
            </w:r>
            <w:r>
              <w:rPr>
                <w:rFonts w:cs="Calibri"/>
                <w:sz w:val="20"/>
                <w:szCs w:val="20"/>
                <w:lang w:eastAsia="ar-SA"/>
              </w:rPr>
              <w:t>zarzadzania projektem</w:t>
            </w:r>
            <w:r w:rsidRPr="0081657E">
              <w:rPr>
                <w:rFonts w:cs="Calibri"/>
                <w:sz w:val="20"/>
                <w:szCs w:val="20"/>
                <w:lang w:eastAsia="ar-SA"/>
              </w:rPr>
              <w:t>), można wyodrębnić m.in. środki przeznaczone na wyna</w:t>
            </w:r>
            <w:r>
              <w:rPr>
                <w:rFonts w:cs="Calibri"/>
                <w:sz w:val="20"/>
                <w:szCs w:val="20"/>
                <w:lang w:eastAsia="ar-SA"/>
              </w:rPr>
              <w:t xml:space="preserve">grodzenia, monitoring, kontrolę. Koszt zakupu środków trwałych określono w wysokości 20%, natomiast koszt promocji określono w wysokości 1% alokacji. </w:t>
            </w:r>
          </w:p>
          <w:p w:rsidR="00560461" w:rsidRDefault="00560461" w:rsidP="00004677">
            <w:pPr>
              <w:tabs>
                <w:tab w:val="left" w:pos="709"/>
              </w:tabs>
              <w:suppressAutoHyphens/>
              <w:spacing w:after="120" w:line="240" w:lineRule="auto"/>
              <w:ind w:left="360"/>
              <w:jc w:val="both"/>
              <w:rPr>
                <w:rFonts w:cs="Calibri"/>
                <w:b/>
                <w:sz w:val="20"/>
                <w:szCs w:val="20"/>
                <w:lang w:eastAsia="ar-SA"/>
              </w:rPr>
            </w:pPr>
          </w:p>
          <w:p w:rsidR="00560461" w:rsidRPr="0017373C" w:rsidRDefault="00560461" w:rsidP="00004677">
            <w:pPr>
              <w:tabs>
                <w:tab w:val="left" w:pos="709"/>
              </w:tabs>
              <w:suppressAutoHyphens/>
              <w:spacing w:after="120" w:line="240" w:lineRule="auto"/>
              <w:ind w:left="360"/>
              <w:jc w:val="both"/>
              <w:rPr>
                <w:rFonts w:cs="Calibri"/>
                <w:b/>
                <w:sz w:val="20"/>
                <w:szCs w:val="20"/>
                <w:lang w:eastAsia="ar-SA"/>
              </w:rPr>
            </w:pPr>
            <w:r>
              <w:rPr>
                <w:rFonts w:cs="Calibri"/>
                <w:b/>
                <w:sz w:val="20"/>
                <w:szCs w:val="20"/>
                <w:lang w:eastAsia="ar-SA"/>
              </w:rPr>
              <w:t>5</w:t>
            </w:r>
            <w:r w:rsidRPr="0017373C">
              <w:rPr>
                <w:rFonts w:cs="Calibri"/>
                <w:b/>
                <w:sz w:val="20"/>
                <w:szCs w:val="20"/>
                <w:lang w:eastAsia="ar-SA"/>
              </w:rPr>
              <w:t xml:space="preserve">) Koszty jednostkowe </w:t>
            </w:r>
            <w:proofErr w:type="spellStart"/>
            <w:r w:rsidRPr="0017373C">
              <w:rPr>
                <w:rFonts w:cs="Calibri"/>
                <w:b/>
                <w:sz w:val="20"/>
                <w:szCs w:val="20"/>
                <w:lang w:eastAsia="ar-SA"/>
              </w:rPr>
              <w:t>osoboszkolenia</w:t>
            </w:r>
            <w:proofErr w:type="spellEnd"/>
            <w:r>
              <w:rPr>
                <w:rFonts w:cs="Calibri"/>
                <w:b/>
                <w:sz w:val="20"/>
                <w:szCs w:val="20"/>
                <w:lang w:eastAsia="ar-SA"/>
              </w:rPr>
              <w:t xml:space="preserve"> w działaniu 3.2 POPC</w:t>
            </w: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Pr>
                <w:rFonts w:cs="Calibri"/>
                <w:sz w:val="20"/>
                <w:szCs w:val="20"/>
                <w:lang w:eastAsia="ar-SA"/>
              </w:rPr>
              <w:t xml:space="preserve">Podstawą dla oszacowania kosztu przeszkolenia 1 osoby w działaniu 3.2 były w dużej mierze doświadczenia z  konkursu z 2015 r. organizowanego przez Ministerstwo Cyfryzacji, dla których celem był </w:t>
            </w:r>
            <w:r w:rsidRPr="007B123A">
              <w:rPr>
                <w:rFonts w:cs="Calibri"/>
                <w:sz w:val="20"/>
                <w:szCs w:val="20"/>
                <w:lang w:eastAsia="ar-SA"/>
              </w:rPr>
              <w:t>upowszechnienie i</w:t>
            </w:r>
            <w:r>
              <w:rPr>
                <w:rFonts w:cs="Calibri"/>
                <w:sz w:val="20"/>
                <w:szCs w:val="20"/>
                <w:lang w:eastAsia="ar-SA"/>
              </w:rPr>
              <w:t> </w:t>
            </w:r>
            <w:r w:rsidRPr="007B123A">
              <w:rPr>
                <w:rFonts w:cs="Calibri"/>
                <w:sz w:val="20"/>
                <w:szCs w:val="20"/>
                <w:lang w:eastAsia="ar-SA"/>
              </w:rPr>
              <w:t xml:space="preserve"> rozwijanie zaawansowanych kompetencji cyfrowych w szczególności poprzez naukę programowania dla uczniów, w tym uczniów o</w:t>
            </w:r>
            <w:r>
              <w:rPr>
                <w:rFonts w:cs="Calibri"/>
                <w:sz w:val="20"/>
                <w:szCs w:val="20"/>
                <w:lang w:eastAsia="ar-SA"/>
              </w:rPr>
              <w:t> </w:t>
            </w:r>
            <w:r w:rsidRPr="007B123A">
              <w:rPr>
                <w:rFonts w:cs="Calibri"/>
                <w:sz w:val="20"/>
                <w:szCs w:val="20"/>
                <w:lang w:eastAsia="ar-SA"/>
              </w:rPr>
              <w:t>specjalnych potrzebach edukacyjnych, stworzenie nowych koncepcji dydaktycznych w zakresie nauki programowania oraz podniesienie kompetencji cyfrowych wśród grup społecznych wymagających szczególnego wsparcia z nastawieniem na ich praktyczne wykorzystanie</w:t>
            </w:r>
            <w:r>
              <w:rPr>
                <w:rStyle w:val="Odwoanieprzypisudolnego"/>
                <w:rFonts w:cs="Calibri"/>
                <w:sz w:val="20"/>
                <w:szCs w:val="20"/>
                <w:lang w:eastAsia="ar-SA"/>
              </w:rPr>
              <w:footnoteReference w:id="27"/>
            </w:r>
            <w:r w:rsidRPr="007B123A">
              <w:rPr>
                <w:rFonts w:cs="Calibri"/>
                <w:sz w:val="20"/>
                <w:szCs w:val="20"/>
                <w:lang w:eastAsia="ar-SA"/>
              </w:rPr>
              <w:t>.</w:t>
            </w:r>
            <w:r>
              <w:rPr>
                <w:rFonts w:cs="Calibri"/>
                <w:sz w:val="20"/>
                <w:szCs w:val="20"/>
                <w:lang w:eastAsia="ar-SA"/>
              </w:rPr>
              <w:t xml:space="preserve"> </w:t>
            </w:r>
            <w:r>
              <w:rPr>
                <w:rFonts w:cs="Calibri"/>
                <w:sz w:val="20"/>
                <w:szCs w:val="20"/>
                <w:lang w:eastAsia="ar-SA"/>
              </w:rPr>
              <w:lastRenderedPageBreak/>
              <w:t xml:space="preserve">W ramach konkursu pod nazwą </w:t>
            </w:r>
            <w:r w:rsidRPr="00943C80">
              <w:rPr>
                <w:rFonts w:cs="Calibri"/>
                <w:i/>
                <w:sz w:val="20"/>
                <w:szCs w:val="20"/>
                <w:lang w:eastAsia="ar-SA"/>
              </w:rPr>
              <w:t xml:space="preserve">Nowatorskie inicjatywy na rzecz rozwoju umiejętności programowania oraz budowania kapitału społecznego z wykorzystaniem technologii informacyjno-komunikacyjnych </w:t>
            </w:r>
            <w:r w:rsidRPr="00746523">
              <w:rPr>
                <w:rFonts w:cs="Calibri"/>
                <w:sz w:val="20"/>
                <w:szCs w:val="20"/>
                <w:lang w:eastAsia="ar-SA"/>
              </w:rPr>
              <w:t>szkolono nauczycieli i uczniów</w:t>
            </w:r>
            <w:r>
              <w:rPr>
                <w:rFonts w:cs="Calibri"/>
                <w:sz w:val="20"/>
                <w:szCs w:val="20"/>
                <w:lang w:eastAsia="ar-SA"/>
              </w:rPr>
              <w:t xml:space="preserve">. Po przeanalizowaniu wszystkich umów w ramach tego konkursu można wskazać, że istotnym kosztem wpływającym na szkolenie nauczycieli jest koszt wynagrodzenia trenera, który średnio wynosi ok. 160 zł za godzinę (zawierający również średni koszt dojazdu i itp.). Zakłada się, że szkolenia stacjonarne indywidualne lub grupowe nauczyciela mogą odbywać się w okresie nie dłuższym niż 4  tygodnie poprzedzające zajęcia szkoleniowe dla uczniów. Ponadto, trener uczestniczy, w co najmniej 5 zajęciach dla uczniów realizowanych przez nauczyciela. Wskazuje to, że każdy trener uczestniczy w zajęciach dla nauczycieli i uczniów łącznie w wymiarze do 80 godzin w relacji do każdego nauczyciela. Mając na uwadze określoną kwotę 160 zł za godzinę, koszt przeszkolenia nauczyciela wynosi ok. </w:t>
            </w:r>
            <w:r w:rsidRPr="00686ADA">
              <w:rPr>
                <w:rFonts w:cs="Calibri"/>
                <w:sz w:val="20"/>
                <w:szCs w:val="20"/>
                <w:lang w:eastAsia="ar-SA"/>
              </w:rPr>
              <w:t>12</w:t>
            </w:r>
            <w:r>
              <w:rPr>
                <w:rFonts w:cs="Calibri"/>
                <w:sz w:val="20"/>
                <w:szCs w:val="20"/>
                <w:lang w:eastAsia="ar-SA"/>
              </w:rPr>
              <w:t> </w:t>
            </w:r>
            <w:r w:rsidRPr="00686ADA">
              <w:rPr>
                <w:rFonts w:cs="Calibri"/>
                <w:sz w:val="20"/>
                <w:szCs w:val="20"/>
                <w:lang w:eastAsia="ar-SA"/>
              </w:rPr>
              <w:t>800</w:t>
            </w:r>
            <w:r>
              <w:rPr>
                <w:rFonts w:cs="Calibri"/>
                <w:sz w:val="20"/>
                <w:szCs w:val="20"/>
                <w:lang w:eastAsia="ar-SA"/>
              </w:rPr>
              <w:t xml:space="preserve"> zł. </w:t>
            </w: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sidRPr="004054F6">
              <w:rPr>
                <w:rFonts w:cs="Calibri"/>
                <w:sz w:val="20"/>
                <w:szCs w:val="20"/>
                <w:lang w:eastAsia="ar-SA"/>
              </w:rPr>
              <w:t>Wartość ta została przeliczona na koszty stałe z 2014 r. i</w:t>
            </w:r>
            <w:r>
              <w:rPr>
                <w:rFonts w:cs="Calibri"/>
                <w:sz w:val="20"/>
                <w:szCs w:val="20"/>
                <w:lang w:eastAsia="ar-SA"/>
              </w:rPr>
              <w:t> </w:t>
            </w:r>
            <w:r w:rsidRPr="004054F6">
              <w:rPr>
                <w:rFonts w:cs="Calibri"/>
                <w:sz w:val="20"/>
                <w:szCs w:val="20"/>
                <w:lang w:eastAsia="ar-SA"/>
              </w:rPr>
              <w:t xml:space="preserve">wyniosła </w:t>
            </w:r>
            <w:r>
              <w:rPr>
                <w:rFonts w:cs="Calibri"/>
                <w:sz w:val="20"/>
                <w:szCs w:val="20"/>
                <w:lang w:eastAsia="ar-SA"/>
              </w:rPr>
              <w:t>–</w:t>
            </w:r>
            <w:r w:rsidRPr="004054F6">
              <w:rPr>
                <w:rFonts w:cs="Calibri"/>
                <w:sz w:val="20"/>
                <w:szCs w:val="20"/>
                <w:lang w:eastAsia="ar-SA"/>
              </w:rPr>
              <w:t xml:space="preserve"> </w:t>
            </w:r>
            <w:r w:rsidRPr="00686ADA">
              <w:rPr>
                <w:rFonts w:cs="Calibri"/>
                <w:sz w:val="20"/>
                <w:szCs w:val="20"/>
                <w:lang w:eastAsia="ar-SA"/>
              </w:rPr>
              <w:t>13</w:t>
            </w:r>
            <w:r>
              <w:rPr>
                <w:rFonts w:cs="Calibri"/>
                <w:sz w:val="20"/>
                <w:szCs w:val="20"/>
                <w:lang w:eastAsia="ar-SA"/>
              </w:rPr>
              <w:t xml:space="preserve"> </w:t>
            </w:r>
            <w:r w:rsidRPr="00686ADA">
              <w:rPr>
                <w:rFonts w:cs="Calibri"/>
                <w:sz w:val="20"/>
                <w:szCs w:val="20"/>
                <w:lang w:eastAsia="ar-SA"/>
              </w:rPr>
              <w:t>582,23</w:t>
            </w:r>
            <w:r>
              <w:rPr>
                <w:rFonts w:cs="Calibri"/>
                <w:sz w:val="20"/>
                <w:szCs w:val="20"/>
                <w:lang w:eastAsia="ar-SA"/>
              </w:rPr>
              <w:t xml:space="preserve"> </w:t>
            </w:r>
            <w:r w:rsidRPr="004054F6">
              <w:rPr>
                <w:rFonts w:cs="Calibri"/>
                <w:sz w:val="20"/>
                <w:szCs w:val="20"/>
                <w:lang w:eastAsia="ar-SA"/>
              </w:rPr>
              <w:t xml:space="preserve">zł dla obu kategorii regionów. </w:t>
            </w:r>
            <w:r>
              <w:rPr>
                <w:rFonts w:cs="Calibri"/>
                <w:sz w:val="20"/>
                <w:szCs w:val="20"/>
                <w:lang w:eastAsia="ar-SA"/>
              </w:rPr>
              <w:t xml:space="preserve"> </w:t>
            </w: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sidRPr="00534ACD">
              <w:rPr>
                <w:rFonts w:cs="Calibri"/>
                <w:sz w:val="20"/>
                <w:szCs w:val="20"/>
                <w:lang w:eastAsia="ar-SA"/>
              </w:rPr>
              <w:t>Następnie</w:t>
            </w:r>
            <w:r>
              <w:rPr>
                <w:rFonts w:cs="Calibri"/>
                <w:sz w:val="20"/>
                <w:szCs w:val="20"/>
                <w:lang w:eastAsia="ar-SA"/>
              </w:rPr>
              <w:t>,</w:t>
            </w:r>
            <w:r w:rsidRPr="00534ACD">
              <w:rPr>
                <w:rFonts w:cs="Calibri"/>
                <w:sz w:val="20"/>
                <w:szCs w:val="20"/>
                <w:lang w:eastAsia="ar-SA"/>
              </w:rPr>
              <w:t xml:space="preserve"> posiadając wspomnian</w:t>
            </w:r>
            <w:r>
              <w:rPr>
                <w:rFonts w:cs="Calibri"/>
                <w:sz w:val="20"/>
                <w:szCs w:val="20"/>
                <w:lang w:eastAsia="ar-SA"/>
              </w:rPr>
              <w:t>ą</w:t>
            </w:r>
            <w:r w:rsidRPr="00534ACD">
              <w:rPr>
                <w:rFonts w:cs="Calibri"/>
                <w:sz w:val="20"/>
                <w:szCs w:val="20"/>
                <w:lang w:eastAsia="ar-SA"/>
              </w:rPr>
              <w:t xml:space="preserve"> wartoś</w:t>
            </w:r>
            <w:r>
              <w:rPr>
                <w:rFonts w:cs="Calibri"/>
                <w:sz w:val="20"/>
                <w:szCs w:val="20"/>
                <w:lang w:eastAsia="ar-SA"/>
              </w:rPr>
              <w:t>ć</w:t>
            </w:r>
            <w:r w:rsidRPr="00534ACD">
              <w:rPr>
                <w:rFonts w:cs="Calibri"/>
                <w:sz w:val="20"/>
                <w:szCs w:val="20"/>
                <w:lang w:eastAsia="ar-SA"/>
              </w:rPr>
              <w:t xml:space="preserve"> kosztów </w:t>
            </w:r>
            <w:r>
              <w:rPr>
                <w:rFonts w:cs="Calibri"/>
                <w:sz w:val="20"/>
                <w:szCs w:val="20"/>
                <w:lang w:eastAsia="ar-SA"/>
              </w:rPr>
              <w:t>uwzględniając podział na regiony słabiej rozwinięte oraz region lepiej rozwinięty</w:t>
            </w:r>
            <w:r w:rsidRPr="00534ACD">
              <w:rPr>
                <w:rFonts w:cs="Calibri"/>
                <w:sz w:val="20"/>
                <w:szCs w:val="20"/>
                <w:lang w:eastAsia="ar-SA"/>
              </w:rPr>
              <w:t xml:space="preserve"> wyliczono średnią arytmetyc</w:t>
            </w:r>
            <w:r>
              <w:rPr>
                <w:rFonts w:cs="Calibri"/>
                <w:sz w:val="20"/>
                <w:szCs w:val="20"/>
                <w:lang w:eastAsia="ar-SA"/>
              </w:rPr>
              <w:t xml:space="preserve">zną i uzyskano potencjalną liczbę nauczycieli, która będzie przeszkolona w ramach działania 3.2 POPC, tj. 3164 w regionach słabiej rozwiniętych oraz 253 w regionie lepiej rozwiniętym. </w:t>
            </w:r>
          </w:p>
          <w:p w:rsidR="00560461" w:rsidRDefault="00560461" w:rsidP="00004677">
            <w:pPr>
              <w:tabs>
                <w:tab w:val="left" w:pos="709"/>
              </w:tabs>
              <w:suppressAutoHyphens/>
              <w:spacing w:after="120" w:line="240" w:lineRule="auto"/>
              <w:ind w:left="360"/>
              <w:jc w:val="both"/>
              <w:rPr>
                <w:rFonts w:cs="Calibri"/>
                <w:sz w:val="20"/>
                <w:szCs w:val="20"/>
                <w:lang w:eastAsia="ar-SA"/>
              </w:rPr>
            </w:pP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sidRPr="00155543">
              <w:rPr>
                <w:rFonts w:cs="Calibri"/>
                <w:sz w:val="20"/>
                <w:szCs w:val="20"/>
                <w:lang w:eastAsia="ar-SA"/>
              </w:rPr>
              <w:t>Zgodnie z przyjętym założeniem, każdy nauczyciel obowiązkowo przeprowadzi zajęcia przynajmniej z jedną grupą uczniów</w:t>
            </w:r>
            <w:r>
              <w:rPr>
                <w:rFonts w:cs="Calibri"/>
                <w:sz w:val="20"/>
                <w:szCs w:val="20"/>
                <w:lang w:eastAsia="ar-SA"/>
              </w:rPr>
              <w:t>.</w:t>
            </w:r>
            <w:r w:rsidRPr="00155543">
              <w:rPr>
                <w:rFonts w:cs="Calibri"/>
                <w:sz w:val="20"/>
                <w:szCs w:val="20"/>
                <w:lang w:eastAsia="ar-SA"/>
              </w:rPr>
              <w:t xml:space="preserve"> </w:t>
            </w:r>
          </w:p>
          <w:p w:rsidR="00560461" w:rsidRDefault="00560461" w:rsidP="00004677">
            <w:pPr>
              <w:tabs>
                <w:tab w:val="left" w:pos="709"/>
              </w:tabs>
              <w:suppressAutoHyphens/>
              <w:spacing w:after="120" w:line="240" w:lineRule="auto"/>
              <w:ind w:left="360"/>
              <w:jc w:val="both"/>
              <w:rPr>
                <w:rFonts w:cs="Calibri"/>
                <w:sz w:val="20"/>
                <w:szCs w:val="20"/>
                <w:lang w:eastAsia="ar-SA"/>
              </w:rPr>
            </w:pPr>
          </w:p>
          <w:p w:rsidR="00560461" w:rsidRDefault="00560461" w:rsidP="00004677">
            <w:pPr>
              <w:keepNext/>
              <w:keepLines/>
              <w:pageBreakBefore/>
              <w:tabs>
                <w:tab w:val="left" w:pos="709"/>
              </w:tabs>
              <w:suppressAutoHyphens/>
              <w:spacing w:after="120"/>
              <w:ind w:left="142"/>
              <w:jc w:val="both"/>
              <w:rPr>
                <w:rFonts w:cs="Calibri"/>
                <w:sz w:val="20"/>
                <w:szCs w:val="20"/>
                <w:lang w:eastAsia="ar-SA"/>
              </w:rPr>
            </w:pPr>
            <w:r>
              <w:rPr>
                <w:rFonts w:cs="Calibri"/>
                <w:sz w:val="20"/>
                <w:szCs w:val="20"/>
                <w:lang w:eastAsia="ar-SA"/>
              </w:rPr>
              <w:t>Przyjmując wartość uśrednioną 10-osobowych grup , liczba uczniów wyniesie odpowiednio dla regionów słabiej rozwiniętych 31 643 osób oraz dla regionu lepiej rozwiniętego 2 351 osób. Łączna wartość nauczycieli i uczniów w regionach słabiej rozwiniętych wyniesie 34 807 osób, a w regionie lepiej rozwiniętym – 2784 osoby.</w:t>
            </w:r>
          </w:p>
          <w:p w:rsidR="00560461" w:rsidRDefault="00560461" w:rsidP="00004677">
            <w:pPr>
              <w:tabs>
                <w:tab w:val="left" w:pos="709"/>
              </w:tabs>
              <w:suppressAutoHyphens/>
              <w:spacing w:after="120"/>
              <w:jc w:val="both"/>
              <w:rPr>
                <w:rFonts w:cs="Calibri"/>
                <w:b/>
                <w:sz w:val="20"/>
                <w:szCs w:val="20"/>
                <w:u w:val="single"/>
                <w:lang w:eastAsia="ar-SA"/>
              </w:rPr>
            </w:pPr>
          </w:p>
          <w:p w:rsidR="00560461" w:rsidRPr="0017373C" w:rsidRDefault="00560461" w:rsidP="00004677">
            <w:pPr>
              <w:tabs>
                <w:tab w:val="left" w:pos="709"/>
              </w:tabs>
              <w:suppressAutoHyphens/>
              <w:spacing w:after="120"/>
              <w:jc w:val="both"/>
              <w:rPr>
                <w:rFonts w:cs="Calibri"/>
                <w:b/>
                <w:sz w:val="20"/>
                <w:szCs w:val="20"/>
                <w:u w:val="single"/>
                <w:lang w:eastAsia="ar-SA"/>
              </w:rPr>
            </w:pPr>
            <w:r w:rsidRPr="0017373C">
              <w:rPr>
                <w:rFonts w:cs="Calibri"/>
                <w:b/>
                <w:sz w:val="20"/>
                <w:szCs w:val="20"/>
                <w:u w:val="single"/>
                <w:lang w:eastAsia="ar-SA"/>
              </w:rPr>
              <w:t>Wyliczenia wartości wskaźnika produktu</w:t>
            </w:r>
          </w:p>
          <w:p w:rsidR="00560461" w:rsidRPr="0017373C" w:rsidRDefault="00560461" w:rsidP="00004677">
            <w:pPr>
              <w:keepNext/>
              <w:keepLines/>
              <w:suppressAutoHyphens/>
              <w:autoSpaceDE w:val="0"/>
              <w:spacing w:before="120" w:after="120" w:line="240" w:lineRule="auto"/>
              <w:ind w:left="142"/>
              <w:jc w:val="both"/>
              <w:rPr>
                <w:rFonts w:cs="Calibri"/>
                <w:color w:val="000000"/>
                <w:sz w:val="20"/>
                <w:szCs w:val="20"/>
                <w:lang w:eastAsia="ar-SA"/>
              </w:rPr>
            </w:pPr>
            <w:r>
              <w:rPr>
                <w:rFonts w:cs="Calibri"/>
                <w:color w:val="000000"/>
                <w:sz w:val="20"/>
                <w:szCs w:val="20"/>
                <w:lang w:eastAsia="ar-SA"/>
              </w:rPr>
              <w:t xml:space="preserve"> W ramach działań  3.1 oraz 3.2 POPC, uzyskano </w:t>
            </w:r>
            <w:r w:rsidRPr="00204D7B">
              <w:rPr>
                <w:rFonts w:cs="Calibri"/>
                <w:color w:val="000000"/>
                <w:sz w:val="20"/>
                <w:szCs w:val="20"/>
                <w:lang w:eastAsia="ar-SA"/>
              </w:rPr>
              <w:t xml:space="preserve">następujące wartości </w:t>
            </w:r>
            <w:r>
              <w:rPr>
                <w:rFonts w:cs="Calibri"/>
                <w:color w:val="000000"/>
                <w:sz w:val="20"/>
                <w:szCs w:val="20"/>
                <w:lang w:eastAsia="ar-SA"/>
              </w:rPr>
              <w:t xml:space="preserve">wskaźnika </w:t>
            </w:r>
            <w:r w:rsidRPr="00204D7B">
              <w:rPr>
                <w:rFonts w:cs="Calibri"/>
                <w:color w:val="000000"/>
                <w:sz w:val="20"/>
                <w:szCs w:val="20"/>
                <w:lang w:eastAsia="ar-SA"/>
              </w:rPr>
              <w:t>w podziale na regiony słabiej rozwinięte oraz region lepiej rozwinięty</w:t>
            </w:r>
            <w:r>
              <w:rPr>
                <w:rFonts w:cs="Calibri"/>
                <w:color w:val="000000"/>
                <w:sz w:val="20"/>
                <w:szCs w:val="20"/>
                <w:lang w:eastAsia="ar-SA"/>
              </w:rPr>
              <w:t>:</w:t>
            </w:r>
          </w:p>
          <w:p w:rsidR="00560461" w:rsidRPr="0017373C" w:rsidRDefault="00560461" w:rsidP="00004677">
            <w:pPr>
              <w:keepNext/>
              <w:suppressAutoHyphens/>
              <w:spacing w:after="0" w:line="240" w:lineRule="auto"/>
              <w:rPr>
                <w:rFonts w:cs="Calibri"/>
                <w:b/>
                <w:bCs/>
                <w:color w:val="1F497D"/>
                <w:sz w:val="20"/>
                <w:szCs w:val="20"/>
                <w:lang w:eastAsia="ar-SA"/>
              </w:rPr>
            </w:pPr>
            <w:bookmarkStart w:id="22" w:name="_Toc401826769"/>
            <w:r w:rsidRPr="0017373C">
              <w:rPr>
                <w:rFonts w:cs="Calibri"/>
                <w:b/>
                <w:bCs/>
                <w:color w:val="1F497D"/>
                <w:sz w:val="20"/>
                <w:szCs w:val="20"/>
                <w:lang w:eastAsia="ar-SA"/>
              </w:rPr>
              <w:t xml:space="preserve">Tabela </w:t>
            </w:r>
            <w:r w:rsidR="00544B8B">
              <w:rPr>
                <w:rFonts w:cs="Calibri"/>
                <w:b/>
                <w:bCs/>
                <w:color w:val="1F497D"/>
                <w:sz w:val="20"/>
                <w:szCs w:val="20"/>
                <w:lang w:eastAsia="ar-SA"/>
              </w:rPr>
              <w:t>15</w:t>
            </w:r>
            <w:r w:rsidRPr="0017373C">
              <w:rPr>
                <w:rFonts w:cs="Calibri"/>
                <w:b/>
                <w:bCs/>
                <w:color w:val="1F497D"/>
                <w:sz w:val="20"/>
                <w:szCs w:val="20"/>
                <w:lang w:eastAsia="ar-SA"/>
              </w:rPr>
              <w:t xml:space="preserve"> - Wartości wskaźnika w</w:t>
            </w:r>
            <w:r>
              <w:rPr>
                <w:rFonts w:cs="Calibri"/>
                <w:b/>
                <w:bCs/>
                <w:color w:val="1F497D"/>
                <w:sz w:val="20"/>
                <w:szCs w:val="20"/>
                <w:lang w:eastAsia="ar-SA"/>
              </w:rPr>
              <w:t>ybranego do ram wykonania w III osi POPC</w:t>
            </w:r>
            <w:r w:rsidRPr="0017373C">
              <w:rPr>
                <w:rFonts w:cs="Calibri"/>
                <w:b/>
                <w:bCs/>
                <w:color w:val="1F497D"/>
                <w:sz w:val="20"/>
                <w:szCs w:val="20"/>
                <w:lang w:eastAsia="ar-SA"/>
              </w:rPr>
              <w:t xml:space="preserve"> w </w:t>
            </w:r>
            <w:r>
              <w:rPr>
                <w:rFonts w:cs="Calibri"/>
                <w:b/>
                <w:bCs/>
                <w:color w:val="1F497D"/>
                <w:sz w:val="20"/>
                <w:szCs w:val="20"/>
                <w:lang w:eastAsia="ar-SA"/>
              </w:rPr>
              <w:t xml:space="preserve">2018 i </w:t>
            </w:r>
            <w:r w:rsidRPr="0017373C">
              <w:rPr>
                <w:rFonts w:cs="Calibri"/>
                <w:b/>
                <w:bCs/>
                <w:color w:val="1F497D"/>
                <w:sz w:val="20"/>
                <w:szCs w:val="20"/>
                <w:lang w:eastAsia="ar-SA"/>
              </w:rPr>
              <w:t>2023 r.</w:t>
            </w:r>
            <w:bookmarkEnd w:id="22"/>
          </w:p>
          <w:tbl>
            <w:tblPr>
              <w:tblW w:w="8650" w:type="dxa"/>
              <w:tblInd w:w="55" w:type="dxa"/>
              <w:tblCellMar>
                <w:left w:w="70" w:type="dxa"/>
                <w:right w:w="70" w:type="dxa"/>
              </w:tblCellMar>
              <w:tblLook w:val="04A0" w:firstRow="1" w:lastRow="0" w:firstColumn="1" w:lastColumn="0" w:noHBand="0" w:noVBand="1"/>
            </w:tblPr>
            <w:tblGrid>
              <w:gridCol w:w="2020"/>
              <w:gridCol w:w="960"/>
              <w:gridCol w:w="2280"/>
              <w:gridCol w:w="1626"/>
              <w:gridCol w:w="1764"/>
            </w:tblGrid>
            <w:tr w:rsidR="00560461" w:rsidRPr="0017373C" w:rsidTr="00004677">
              <w:trPr>
                <w:trHeight w:val="720"/>
              </w:trPr>
              <w:tc>
                <w:tcPr>
                  <w:tcW w:w="2020" w:type="dxa"/>
                  <w:vMerge w:val="restart"/>
                  <w:tcBorders>
                    <w:top w:val="single" w:sz="8" w:space="0" w:color="auto"/>
                    <w:left w:val="single" w:sz="8" w:space="0" w:color="auto"/>
                    <w:bottom w:val="single" w:sz="4" w:space="0" w:color="000000"/>
                    <w:right w:val="single" w:sz="4" w:space="0" w:color="auto"/>
                  </w:tcBorders>
                  <w:shd w:val="clear" w:color="000000" w:fill="F2DCDB"/>
                  <w:noWrap/>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Wskaźnik</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F2DCDB"/>
                  <w:vAlign w:val="center"/>
                </w:tcPr>
                <w:p w:rsidR="00560461" w:rsidRPr="0017373C" w:rsidRDefault="00560461" w:rsidP="00004677">
                  <w:pPr>
                    <w:spacing w:after="0" w:line="240" w:lineRule="auto"/>
                    <w:rPr>
                      <w:rFonts w:eastAsia="Times New Roman" w:cs="Calibri"/>
                      <w:b/>
                      <w:bCs/>
                      <w:color w:val="000000"/>
                      <w:sz w:val="18"/>
                      <w:szCs w:val="18"/>
                      <w:lang w:eastAsia="pl-PL"/>
                    </w:rPr>
                  </w:pPr>
                  <w:r w:rsidRPr="0017373C">
                    <w:rPr>
                      <w:rFonts w:eastAsia="Times New Roman" w:cs="Calibri"/>
                      <w:b/>
                      <w:bCs/>
                      <w:color w:val="000000"/>
                      <w:sz w:val="18"/>
                      <w:szCs w:val="18"/>
                      <w:lang w:eastAsia="pl-PL"/>
                    </w:rPr>
                    <w:t>Jednostka pomiaru</w:t>
                  </w:r>
                </w:p>
              </w:tc>
              <w:tc>
                <w:tcPr>
                  <w:tcW w:w="2280" w:type="dxa"/>
                  <w:vMerge w:val="restart"/>
                  <w:tcBorders>
                    <w:top w:val="single" w:sz="8" w:space="0" w:color="auto"/>
                    <w:left w:val="single" w:sz="4" w:space="0" w:color="auto"/>
                    <w:bottom w:val="single" w:sz="4" w:space="0" w:color="auto"/>
                    <w:right w:val="single" w:sz="4" w:space="0" w:color="auto"/>
                  </w:tcBorders>
                  <w:shd w:val="clear" w:color="000000" w:fill="F2DCDB"/>
                  <w:vAlign w:val="center"/>
                </w:tcPr>
                <w:p w:rsidR="00560461" w:rsidRPr="0017373C" w:rsidRDefault="00560461" w:rsidP="00004677">
                  <w:pPr>
                    <w:spacing w:after="0" w:line="240" w:lineRule="auto"/>
                    <w:rPr>
                      <w:rFonts w:eastAsia="Times New Roman" w:cs="Calibri"/>
                      <w:b/>
                      <w:bCs/>
                      <w:color w:val="000000"/>
                      <w:sz w:val="18"/>
                      <w:szCs w:val="18"/>
                      <w:lang w:eastAsia="pl-PL"/>
                    </w:rPr>
                  </w:pPr>
                  <w:r w:rsidRPr="0017373C">
                    <w:rPr>
                      <w:rFonts w:eastAsia="Times New Roman" w:cs="Calibri"/>
                      <w:b/>
                      <w:bCs/>
                      <w:color w:val="000000"/>
                      <w:sz w:val="18"/>
                      <w:szCs w:val="18"/>
                      <w:lang w:eastAsia="pl-PL"/>
                    </w:rPr>
                    <w:t>Kategorie regionu</w:t>
                  </w:r>
                </w:p>
              </w:tc>
              <w:tc>
                <w:tcPr>
                  <w:tcW w:w="1626" w:type="dxa"/>
                  <w:tcBorders>
                    <w:top w:val="single" w:sz="8" w:space="0" w:color="auto"/>
                    <w:left w:val="nil"/>
                    <w:bottom w:val="single" w:sz="4" w:space="0" w:color="auto"/>
                    <w:right w:val="single" w:sz="4" w:space="0" w:color="auto"/>
                  </w:tcBorders>
                  <w:shd w:val="clear" w:color="000000" w:fill="F2DCDB"/>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Cel pośredni (2018)</w:t>
                  </w:r>
                </w:p>
              </w:tc>
              <w:tc>
                <w:tcPr>
                  <w:tcW w:w="1764" w:type="dxa"/>
                  <w:tcBorders>
                    <w:top w:val="single" w:sz="8" w:space="0" w:color="auto"/>
                    <w:left w:val="nil"/>
                    <w:bottom w:val="single" w:sz="4" w:space="0" w:color="auto"/>
                    <w:right w:val="single" w:sz="8" w:space="0" w:color="auto"/>
                  </w:tcBorders>
                  <w:shd w:val="clear" w:color="000000" w:fill="F2DCDB"/>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Cel końcowy (2023)</w:t>
                  </w:r>
                </w:p>
              </w:tc>
            </w:tr>
            <w:tr w:rsidR="00560461" w:rsidRPr="0017373C" w:rsidTr="00004677">
              <w:trPr>
                <w:trHeight w:val="300"/>
              </w:trPr>
              <w:tc>
                <w:tcPr>
                  <w:tcW w:w="2020" w:type="dxa"/>
                  <w:vMerge/>
                  <w:tcBorders>
                    <w:top w:val="single" w:sz="8" w:space="0" w:color="auto"/>
                    <w:left w:val="single" w:sz="8" w:space="0" w:color="auto"/>
                    <w:bottom w:val="single" w:sz="4" w:space="0" w:color="000000"/>
                    <w:right w:val="single" w:sz="4" w:space="0" w:color="auto"/>
                  </w:tcBorders>
                  <w:vAlign w:val="center"/>
                </w:tcPr>
                <w:p w:rsidR="00560461" w:rsidRPr="0017373C" w:rsidRDefault="00560461" w:rsidP="00004677">
                  <w:pPr>
                    <w:spacing w:after="0" w:line="240" w:lineRule="auto"/>
                    <w:rPr>
                      <w:rFonts w:eastAsia="Times New Roman" w:cs="Calibri"/>
                      <w:b/>
                      <w:bCs/>
                      <w:color w:val="000000"/>
                      <w:sz w:val="18"/>
                      <w:szCs w:val="18"/>
                      <w:lang w:eastAsia="pl-PL"/>
                    </w:rPr>
                  </w:pPr>
                </w:p>
              </w:tc>
              <w:tc>
                <w:tcPr>
                  <w:tcW w:w="960" w:type="dxa"/>
                  <w:vMerge/>
                  <w:tcBorders>
                    <w:top w:val="single" w:sz="8" w:space="0" w:color="auto"/>
                    <w:left w:val="single" w:sz="4" w:space="0" w:color="auto"/>
                    <w:bottom w:val="single" w:sz="4" w:space="0" w:color="auto"/>
                    <w:right w:val="single" w:sz="4" w:space="0" w:color="auto"/>
                  </w:tcBorders>
                  <w:vAlign w:val="center"/>
                </w:tcPr>
                <w:p w:rsidR="00560461" w:rsidRPr="0017373C" w:rsidRDefault="00560461" w:rsidP="00004677">
                  <w:pPr>
                    <w:spacing w:after="0" w:line="240" w:lineRule="auto"/>
                    <w:rPr>
                      <w:rFonts w:eastAsia="Times New Roman" w:cs="Calibri"/>
                      <w:b/>
                      <w:bCs/>
                      <w:color w:val="000000"/>
                      <w:sz w:val="18"/>
                      <w:szCs w:val="18"/>
                      <w:lang w:eastAsia="pl-PL"/>
                    </w:rPr>
                  </w:pPr>
                </w:p>
              </w:tc>
              <w:tc>
                <w:tcPr>
                  <w:tcW w:w="2280" w:type="dxa"/>
                  <w:vMerge/>
                  <w:tcBorders>
                    <w:top w:val="single" w:sz="8" w:space="0" w:color="auto"/>
                    <w:left w:val="single" w:sz="4" w:space="0" w:color="auto"/>
                    <w:bottom w:val="single" w:sz="4" w:space="0" w:color="auto"/>
                    <w:right w:val="single" w:sz="4" w:space="0" w:color="auto"/>
                  </w:tcBorders>
                  <w:vAlign w:val="center"/>
                </w:tcPr>
                <w:p w:rsidR="00560461" w:rsidRPr="0017373C" w:rsidRDefault="00560461" w:rsidP="00004677">
                  <w:pPr>
                    <w:spacing w:after="0" w:line="240" w:lineRule="auto"/>
                    <w:rPr>
                      <w:rFonts w:eastAsia="Times New Roman" w:cs="Calibri"/>
                      <w:b/>
                      <w:bCs/>
                      <w:color w:val="000000"/>
                      <w:sz w:val="18"/>
                      <w:szCs w:val="18"/>
                      <w:lang w:eastAsia="pl-PL"/>
                    </w:rPr>
                  </w:pPr>
                </w:p>
              </w:tc>
              <w:tc>
                <w:tcPr>
                  <w:tcW w:w="1626" w:type="dxa"/>
                  <w:tcBorders>
                    <w:top w:val="nil"/>
                    <w:left w:val="nil"/>
                    <w:bottom w:val="single" w:sz="4" w:space="0" w:color="auto"/>
                    <w:right w:val="single" w:sz="4" w:space="0" w:color="auto"/>
                  </w:tcBorders>
                  <w:shd w:val="clear" w:color="000000" w:fill="F2DCDB"/>
                  <w:noWrap/>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Działanie 3.1</w:t>
                  </w:r>
                  <w:r>
                    <w:rPr>
                      <w:rFonts w:eastAsia="Times New Roman" w:cs="Calibri"/>
                      <w:b/>
                      <w:bCs/>
                      <w:color w:val="000000"/>
                      <w:sz w:val="18"/>
                      <w:szCs w:val="18"/>
                      <w:lang w:eastAsia="pl-PL"/>
                    </w:rPr>
                    <w:t xml:space="preserve"> i 3.2</w:t>
                  </w:r>
                </w:p>
              </w:tc>
              <w:tc>
                <w:tcPr>
                  <w:tcW w:w="1764" w:type="dxa"/>
                  <w:tcBorders>
                    <w:top w:val="nil"/>
                    <w:left w:val="nil"/>
                    <w:bottom w:val="single" w:sz="4" w:space="0" w:color="auto"/>
                    <w:right w:val="single" w:sz="8" w:space="0" w:color="auto"/>
                  </w:tcBorders>
                  <w:shd w:val="clear" w:color="000000" w:fill="F2DCDB"/>
                  <w:noWrap/>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Działanie 3.1</w:t>
                  </w:r>
                  <w:r>
                    <w:rPr>
                      <w:rFonts w:eastAsia="Times New Roman" w:cs="Calibri"/>
                      <w:b/>
                      <w:bCs/>
                      <w:color w:val="000000"/>
                      <w:sz w:val="18"/>
                      <w:szCs w:val="18"/>
                      <w:lang w:eastAsia="pl-PL"/>
                    </w:rPr>
                    <w:t xml:space="preserve"> i 3.2</w:t>
                  </w:r>
                </w:p>
              </w:tc>
            </w:tr>
            <w:tr w:rsidR="00560461" w:rsidRPr="0017373C" w:rsidTr="00004677">
              <w:trPr>
                <w:trHeight w:val="705"/>
              </w:trPr>
              <w:tc>
                <w:tcPr>
                  <w:tcW w:w="2020" w:type="dxa"/>
                  <w:vMerge w:val="restart"/>
                  <w:tcBorders>
                    <w:top w:val="nil"/>
                    <w:left w:val="single" w:sz="8" w:space="0" w:color="auto"/>
                    <w:bottom w:val="single" w:sz="8" w:space="0" w:color="000000"/>
                    <w:right w:val="single" w:sz="4" w:space="0" w:color="auto"/>
                  </w:tcBorders>
                  <w:shd w:val="clear" w:color="auto" w:fill="auto"/>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Liczba osób objętych działaniami szkoleniowymi w zakresie korzystania z Internetu (w tym e-usług)</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tcPr>
                <w:p w:rsidR="00560461" w:rsidRPr="0017373C" w:rsidRDefault="00560461" w:rsidP="00004677">
                  <w:pPr>
                    <w:spacing w:after="0" w:line="240" w:lineRule="auto"/>
                    <w:jc w:val="center"/>
                    <w:rPr>
                      <w:rFonts w:eastAsia="Times New Roman" w:cs="Calibri"/>
                      <w:b/>
                      <w:bCs/>
                      <w:color w:val="000000"/>
                      <w:sz w:val="18"/>
                      <w:szCs w:val="18"/>
                      <w:lang w:eastAsia="pl-PL"/>
                    </w:rPr>
                  </w:pPr>
                  <w:r w:rsidRPr="0017373C">
                    <w:rPr>
                      <w:rFonts w:eastAsia="Times New Roman" w:cs="Calibri"/>
                      <w:b/>
                      <w:bCs/>
                      <w:color w:val="000000"/>
                      <w:sz w:val="18"/>
                      <w:szCs w:val="18"/>
                      <w:lang w:eastAsia="pl-PL"/>
                    </w:rPr>
                    <w:t>osoby</w:t>
                  </w:r>
                </w:p>
              </w:tc>
              <w:tc>
                <w:tcPr>
                  <w:tcW w:w="2280" w:type="dxa"/>
                  <w:tcBorders>
                    <w:top w:val="nil"/>
                    <w:left w:val="nil"/>
                    <w:bottom w:val="single" w:sz="4" w:space="0" w:color="auto"/>
                    <w:right w:val="single" w:sz="4" w:space="0" w:color="auto"/>
                  </w:tcBorders>
                  <w:shd w:val="clear" w:color="auto" w:fill="auto"/>
                  <w:vAlign w:val="center"/>
                </w:tcPr>
                <w:p w:rsidR="00560461" w:rsidRPr="0017373C" w:rsidRDefault="00560461" w:rsidP="00004677">
                  <w:pPr>
                    <w:spacing w:after="0" w:line="240" w:lineRule="auto"/>
                    <w:rPr>
                      <w:rFonts w:eastAsia="Times New Roman" w:cs="Calibri"/>
                      <w:b/>
                      <w:bCs/>
                      <w:color w:val="000000"/>
                      <w:sz w:val="18"/>
                      <w:szCs w:val="18"/>
                      <w:lang w:eastAsia="pl-PL"/>
                    </w:rPr>
                  </w:pPr>
                  <w:r w:rsidRPr="0017373C">
                    <w:rPr>
                      <w:rFonts w:eastAsia="Times New Roman" w:cs="Calibri"/>
                      <w:b/>
                      <w:bCs/>
                      <w:color w:val="000000"/>
                      <w:sz w:val="18"/>
                      <w:szCs w:val="18"/>
                      <w:lang w:eastAsia="pl-PL"/>
                    </w:rPr>
                    <w:t>Regiony słabiej rozwinięte</w:t>
                  </w:r>
                </w:p>
              </w:tc>
              <w:tc>
                <w:tcPr>
                  <w:tcW w:w="1626" w:type="dxa"/>
                  <w:tcBorders>
                    <w:top w:val="nil"/>
                    <w:left w:val="nil"/>
                    <w:bottom w:val="single" w:sz="4" w:space="0" w:color="auto"/>
                    <w:right w:val="single" w:sz="4" w:space="0" w:color="auto"/>
                  </w:tcBorders>
                  <w:shd w:val="clear" w:color="auto" w:fill="auto"/>
                  <w:noWrap/>
                  <w:vAlign w:val="center"/>
                </w:tcPr>
                <w:p w:rsidR="00560461" w:rsidRPr="00A2554F" w:rsidRDefault="00560461" w:rsidP="00004677">
                  <w:pPr>
                    <w:spacing w:after="0" w:line="240" w:lineRule="auto"/>
                    <w:jc w:val="right"/>
                    <w:rPr>
                      <w:rFonts w:cs="Calibri"/>
                      <w:b/>
                      <w:bCs/>
                      <w:color w:val="000000"/>
                      <w:sz w:val="18"/>
                      <w:szCs w:val="18"/>
                    </w:rPr>
                  </w:pPr>
                  <w:r w:rsidRPr="00A2554F">
                    <w:rPr>
                      <w:rFonts w:cs="Calibri"/>
                      <w:b/>
                      <w:bCs/>
                      <w:color w:val="000000"/>
                      <w:sz w:val="18"/>
                      <w:szCs w:val="18"/>
                    </w:rPr>
                    <w:t>0</w:t>
                  </w:r>
                </w:p>
              </w:tc>
              <w:tc>
                <w:tcPr>
                  <w:tcW w:w="1764" w:type="dxa"/>
                  <w:tcBorders>
                    <w:top w:val="nil"/>
                    <w:left w:val="nil"/>
                    <w:bottom w:val="single" w:sz="4" w:space="0" w:color="auto"/>
                    <w:right w:val="single" w:sz="8" w:space="0" w:color="auto"/>
                  </w:tcBorders>
                  <w:shd w:val="clear" w:color="auto" w:fill="auto"/>
                  <w:noWrap/>
                  <w:vAlign w:val="center"/>
                </w:tcPr>
                <w:p w:rsidR="00560461" w:rsidRPr="0017373C" w:rsidRDefault="00560461" w:rsidP="00004677">
                  <w:pPr>
                    <w:spacing w:after="0" w:line="240" w:lineRule="auto"/>
                    <w:jc w:val="right"/>
                    <w:rPr>
                      <w:rFonts w:eastAsia="Times New Roman" w:cs="Calibri"/>
                      <w:b/>
                      <w:bCs/>
                      <w:color w:val="000000"/>
                      <w:sz w:val="18"/>
                      <w:szCs w:val="18"/>
                      <w:lang w:eastAsia="pl-PL"/>
                    </w:rPr>
                  </w:pPr>
                  <w:r>
                    <w:rPr>
                      <w:rFonts w:cs="Calibri"/>
                      <w:b/>
                      <w:bCs/>
                      <w:color w:val="000000"/>
                      <w:sz w:val="18"/>
                      <w:szCs w:val="18"/>
                    </w:rPr>
                    <w:t>407 342</w:t>
                  </w:r>
                </w:p>
              </w:tc>
            </w:tr>
            <w:tr w:rsidR="00560461" w:rsidRPr="0017373C" w:rsidTr="00004677">
              <w:trPr>
                <w:trHeight w:val="705"/>
              </w:trPr>
              <w:tc>
                <w:tcPr>
                  <w:tcW w:w="2020" w:type="dxa"/>
                  <w:vMerge/>
                  <w:tcBorders>
                    <w:top w:val="nil"/>
                    <w:left w:val="single" w:sz="8" w:space="0" w:color="auto"/>
                    <w:bottom w:val="single" w:sz="8" w:space="0" w:color="000000"/>
                    <w:right w:val="single" w:sz="4" w:space="0" w:color="auto"/>
                  </w:tcBorders>
                  <w:vAlign w:val="center"/>
                </w:tcPr>
                <w:p w:rsidR="00560461" w:rsidRPr="0017373C" w:rsidRDefault="00560461" w:rsidP="00004677">
                  <w:pPr>
                    <w:spacing w:after="0" w:line="240" w:lineRule="auto"/>
                    <w:rPr>
                      <w:rFonts w:eastAsia="Times New Roman" w:cs="Calibri"/>
                      <w:b/>
                      <w:bCs/>
                      <w:color w:val="000000"/>
                      <w:sz w:val="18"/>
                      <w:szCs w:val="18"/>
                      <w:lang w:eastAsia="pl-PL"/>
                    </w:rPr>
                  </w:pPr>
                </w:p>
              </w:tc>
              <w:tc>
                <w:tcPr>
                  <w:tcW w:w="960" w:type="dxa"/>
                  <w:vMerge/>
                  <w:tcBorders>
                    <w:top w:val="nil"/>
                    <w:left w:val="single" w:sz="4" w:space="0" w:color="auto"/>
                    <w:bottom w:val="single" w:sz="8" w:space="0" w:color="000000"/>
                    <w:right w:val="single" w:sz="4" w:space="0" w:color="auto"/>
                  </w:tcBorders>
                  <w:vAlign w:val="center"/>
                </w:tcPr>
                <w:p w:rsidR="00560461" w:rsidRPr="0017373C" w:rsidRDefault="00560461" w:rsidP="00004677">
                  <w:pPr>
                    <w:spacing w:after="0" w:line="240" w:lineRule="auto"/>
                    <w:rPr>
                      <w:rFonts w:eastAsia="Times New Roman" w:cs="Calibri"/>
                      <w:b/>
                      <w:bCs/>
                      <w:color w:val="000000"/>
                      <w:sz w:val="18"/>
                      <w:szCs w:val="18"/>
                      <w:lang w:eastAsia="pl-PL"/>
                    </w:rPr>
                  </w:pPr>
                </w:p>
              </w:tc>
              <w:tc>
                <w:tcPr>
                  <w:tcW w:w="2280" w:type="dxa"/>
                  <w:tcBorders>
                    <w:top w:val="nil"/>
                    <w:left w:val="nil"/>
                    <w:bottom w:val="single" w:sz="8" w:space="0" w:color="auto"/>
                    <w:right w:val="single" w:sz="4" w:space="0" w:color="auto"/>
                  </w:tcBorders>
                  <w:shd w:val="clear" w:color="auto" w:fill="auto"/>
                  <w:vAlign w:val="center"/>
                </w:tcPr>
                <w:p w:rsidR="00560461" w:rsidRPr="0017373C" w:rsidRDefault="00560461" w:rsidP="00004677">
                  <w:pPr>
                    <w:spacing w:after="0" w:line="240" w:lineRule="auto"/>
                    <w:rPr>
                      <w:rFonts w:eastAsia="Times New Roman" w:cs="Calibri"/>
                      <w:b/>
                      <w:bCs/>
                      <w:color w:val="000000"/>
                      <w:sz w:val="18"/>
                      <w:szCs w:val="18"/>
                      <w:lang w:eastAsia="pl-PL"/>
                    </w:rPr>
                  </w:pPr>
                  <w:r w:rsidRPr="0017373C">
                    <w:rPr>
                      <w:rFonts w:eastAsia="Times New Roman" w:cs="Calibri"/>
                      <w:b/>
                      <w:bCs/>
                      <w:color w:val="000000"/>
                      <w:sz w:val="18"/>
                      <w:szCs w:val="18"/>
                      <w:lang w:eastAsia="pl-PL"/>
                    </w:rPr>
                    <w:t xml:space="preserve">Region lepiej rozwinięty </w:t>
                  </w:r>
                </w:p>
              </w:tc>
              <w:tc>
                <w:tcPr>
                  <w:tcW w:w="1626" w:type="dxa"/>
                  <w:tcBorders>
                    <w:top w:val="nil"/>
                    <w:left w:val="nil"/>
                    <w:bottom w:val="single" w:sz="8" w:space="0" w:color="auto"/>
                    <w:right w:val="single" w:sz="4" w:space="0" w:color="auto"/>
                  </w:tcBorders>
                  <w:shd w:val="clear" w:color="auto" w:fill="auto"/>
                  <w:noWrap/>
                  <w:vAlign w:val="center"/>
                </w:tcPr>
                <w:p w:rsidR="00560461" w:rsidRPr="00A2554F" w:rsidRDefault="00560461" w:rsidP="00004677">
                  <w:pPr>
                    <w:spacing w:after="0" w:line="240" w:lineRule="auto"/>
                    <w:jc w:val="right"/>
                    <w:rPr>
                      <w:rFonts w:cs="Calibri"/>
                      <w:b/>
                      <w:bCs/>
                      <w:color w:val="000000"/>
                      <w:sz w:val="18"/>
                      <w:szCs w:val="18"/>
                    </w:rPr>
                  </w:pPr>
                  <w:r w:rsidRPr="00A2554F">
                    <w:rPr>
                      <w:rFonts w:cs="Calibri"/>
                      <w:b/>
                      <w:bCs/>
                      <w:color w:val="000000"/>
                      <w:sz w:val="18"/>
                      <w:szCs w:val="18"/>
                    </w:rPr>
                    <w:t>0</w:t>
                  </w:r>
                </w:p>
              </w:tc>
              <w:tc>
                <w:tcPr>
                  <w:tcW w:w="1764" w:type="dxa"/>
                  <w:tcBorders>
                    <w:top w:val="nil"/>
                    <w:left w:val="nil"/>
                    <w:bottom w:val="single" w:sz="8" w:space="0" w:color="auto"/>
                    <w:right w:val="single" w:sz="8" w:space="0" w:color="auto"/>
                  </w:tcBorders>
                  <w:shd w:val="clear" w:color="auto" w:fill="auto"/>
                  <w:noWrap/>
                  <w:vAlign w:val="center"/>
                </w:tcPr>
                <w:p w:rsidR="00560461" w:rsidRPr="0017373C" w:rsidRDefault="00560461" w:rsidP="00004677">
                  <w:pPr>
                    <w:spacing w:after="0" w:line="240" w:lineRule="auto"/>
                    <w:jc w:val="right"/>
                    <w:rPr>
                      <w:rFonts w:eastAsia="Times New Roman" w:cs="Calibri"/>
                      <w:b/>
                      <w:bCs/>
                      <w:color w:val="000000"/>
                      <w:sz w:val="18"/>
                      <w:szCs w:val="18"/>
                      <w:lang w:eastAsia="pl-PL"/>
                    </w:rPr>
                  </w:pPr>
                  <w:r>
                    <w:rPr>
                      <w:rFonts w:cs="Calibri"/>
                      <w:b/>
                      <w:bCs/>
                      <w:color w:val="000000"/>
                      <w:sz w:val="18"/>
                      <w:szCs w:val="18"/>
                    </w:rPr>
                    <w:t>29 854</w:t>
                  </w:r>
                </w:p>
              </w:tc>
            </w:tr>
          </w:tbl>
          <w:p w:rsidR="00560461" w:rsidRPr="0017373C" w:rsidRDefault="00560461" w:rsidP="00004677">
            <w:pPr>
              <w:suppressAutoHyphens/>
              <w:jc w:val="both"/>
              <w:rPr>
                <w:rFonts w:cs="Calibri"/>
                <w:sz w:val="20"/>
                <w:szCs w:val="20"/>
                <w:lang w:eastAsia="ar-SA"/>
              </w:rPr>
            </w:pPr>
          </w:p>
          <w:p w:rsidR="00560461" w:rsidRPr="0017373C" w:rsidRDefault="00560461" w:rsidP="00004677">
            <w:pPr>
              <w:keepNext/>
              <w:keepLines/>
              <w:suppressAutoHyphens/>
              <w:autoSpaceDE w:val="0"/>
              <w:spacing w:after="120" w:line="240" w:lineRule="auto"/>
              <w:ind w:left="142"/>
              <w:jc w:val="both"/>
              <w:rPr>
                <w:rFonts w:cs="Calibri"/>
                <w:color w:val="000000"/>
                <w:sz w:val="20"/>
                <w:szCs w:val="20"/>
                <w:lang w:eastAsia="ar-SA"/>
              </w:rPr>
            </w:pPr>
            <w:r w:rsidRPr="0017373C">
              <w:rPr>
                <w:rFonts w:cs="Calibri"/>
                <w:color w:val="000000"/>
                <w:sz w:val="20"/>
                <w:szCs w:val="20"/>
                <w:lang w:eastAsia="ar-SA"/>
              </w:rPr>
              <w:t>W Działan</w:t>
            </w:r>
            <w:r>
              <w:rPr>
                <w:rFonts w:cs="Calibri"/>
                <w:color w:val="000000"/>
                <w:sz w:val="20"/>
                <w:szCs w:val="20"/>
                <w:lang w:eastAsia="ar-SA"/>
              </w:rPr>
              <w:t>iach</w:t>
            </w:r>
            <w:r w:rsidRPr="0017373C">
              <w:rPr>
                <w:rFonts w:cs="Calibri"/>
                <w:color w:val="000000"/>
                <w:sz w:val="20"/>
                <w:szCs w:val="20"/>
                <w:lang w:eastAsia="ar-SA"/>
              </w:rPr>
              <w:t xml:space="preserve"> 3.1 </w:t>
            </w:r>
            <w:r>
              <w:rPr>
                <w:rFonts w:cs="Calibri"/>
                <w:color w:val="000000"/>
                <w:sz w:val="20"/>
                <w:szCs w:val="20"/>
                <w:lang w:eastAsia="ar-SA"/>
              </w:rPr>
              <w:t xml:space="preserve">oraz 3.2 </w:t>
            </w:r>
            <w:r w:rsidRPr="0017373C">
              <w:rPr>
                <w:rFonts w:cs="Calibri"/>
                <w:color w:val="000000"/>
                <w:sz w:val="20"/>
                <w:szCs w:val="20"/>
                <w:lang w:eastAsia="ar-SA"/>
              </w:rPr>
              <w:t>POPC istotnym momentem dla monitorowania tego wskaźnika jest zawarcie umów o dofinasowanie.  Zakładając ogłoszenie pierwszego naboru w drugiej połowie 2015 r., długi okres wyboru jedynie kilku projektów w konkursie, ich złożoność</w:t>
            </w:r>
            <w:r>
              <w:rPr>
                <w:rFonts w:cs="Calibri"/>
                <w:color w:val="000000"/>
                <w:sz w:val="20"/>
                <w:szCs w:val="20"/>
                <w:lang w:eastAsia="ar-SA"/>
              </w:rPr>
              <w:t>,</w:t>
            </w:r>
            <w:r w:rsidRPr="0017373C">
              <w:rPr>
                <w:rFonts w:cs="Calibri"/>
                <w:color w:val="000000"/>
                <w:sz w:val="20"/>
                <w:szCs w:val="20"/>
                <w:lang w:eastAsia="ar-SA"/>
              </w:rPr>
              <w:t xml:space="preserve"> rozstrzygniecie konkursu może trwać nawet ok. 1 roku od ogłoszenia naboru wniosków. Ponadto planuje się, że wdrażanie projektów przez beneficjenta będzie trwało 3 lata. Tym samym zakończenie rzeczowe (czasowo zbliżone do zakończenia finansowego) projektów powinno mieć miejsce w drugiej połowie 2019 r., co de facto oznacza brak realizacji wskaźnika produktu w kontekście wartości pośredniej. Mając na uwadze interpretację terminu operacja zakończona w </w:t>
            </w:r>
            <w:r w:rsidRPr="0017373C">
              <w:rPr>
                <w:rFonts w:cs="Calibri"/>
                <w:color w:val="000000"/>
                <w:sz w:val="20"/>
                <w:szCs w:val="20"/>
                <w:lang w:eastAsia="ar-SA"/>
              </w:rPr>
              <w:lastRenderedPageBreak/>
              <w:t>reżimie EFRR</w:t>
            </w:r>
            <w:r w:rsidRPr="0017373C">
              <w:rPr>
                <w:rFonts w:cs="Calibri"/>
                <w:color w:val="000000"/>
                <w:sz w:val="20"/>
                <w:szCs w:val="20"/>
                <w:vertAlign w:val="superscript"/>
                <w:lang w:eastAsia="ar-SA"/>
              </w:rPr>
              <w:footnoteReference w:id="28"/>
            </w:r>
            <w:r w:rsidRPr="0017373C">
              <w:rPr>
                <w:rFonts w:cs="Calibri"/>
                <w:color w:val="000000"/>
                <w:sz w:val="20"/>
                <w:szCs w:val="20"/>
                <w:lang w:eastAsia="ar-SA"/>
              </w:rPr>
              <w:t xml:space="preserve">, pomimo charakteru „miękkiego” podejmowanych działań podobnego do EFS, gdzie pobieranie danych do wskaźnika produktu następuje z wniosków o płatność pośrednią, nie wydaje się możliwe zastosowanie takiego rozwiązania w POPC. </w:t>
            </w:r>
          </w:p>
          <w:p w:rsidR="00560461" w:rsidRPr="0017373C" w:rsidRDefault="00560461" w:rsidP="00004677">
            <w:pPr>
              <w:keepNext/>
              <w:keepLines/>
              <w:suppressAutoHyphens/>
              <w:autoSpaceDE w:val="0"/>
              <w:spacing w:after="120" w:line="240" w:lineRule="auto"/>
              <w:ind w:left="142"/>
              <w:jc w:val="both"/>
              <w:rPr>
                <w:rFonts w:cs="Calibri"/>
                <w:color w:val="000000"/>
                <w:sz w:val="20"/>
                <w:szCs w:val="20"/>
                <w:lang w:eastAsia="ar-SA"/>
              </w:rPr>
            </w:pPr>
            <w:r w:rsidRPr="0017373C">
              <w:rPr>
                <w:rFonts w:cs="Calibri"/>
                <w:color w:val="000000"/>
                <w:sz w:val="20"/>
                <w:szCs w:val="20"/>
                <w:lang w:eastAsia="ar-SA"/>
              </w:rPr>
              <w:t xml:space="preserve">Biorąc pod uwagę powyższe wnioski, uznano za zasadne wskazać dodatkowo następujący wskaźnik mający charakter kluczowego etapu wdrożenia (KEW): </w:t>
            </w:r>
            <w:r w:rsidRPr="0017373C">
              <w:rPr>
                <w:rFonts w:cs="Calibri"/>
                <w:i/>
                <w:iCs/>
                <w:color w:val="000000"/>
                <w:sz w:val="20"/>
                <w:szCs w:val="20"/>
                <w:lang w:eastAsia="pl-PL"/>
              </w:rPr>
              <w:t>Liczba osób objętych działaniami szkoleniowymi w zakresie korzystania z Internetu (w tym e-usług) na podstawie wartości docelowej z zawartych umów o dofinansowanie projektów</w:t>
            </w:r>
            <w:r w:rsidRPr="0017373C">
              <w:rPr>
                <w:rFonts w:cs="Calibri"/>
                <w:color w:val="000000"/>
                <w:sz w:val="20"/>
                <w:szCs w:val="20"/>
                <w:lang w:eastAsia="pl-PL"/>
              </w:rPr>
              <w:t xml:space="preserve">. </w:t>
            </w:r>
            <w:r w:rsidRPr="0017373C">
              <w:rPr>
                <w:rFonts w:cs="Calibri"/>
                <w:color w:val="000000"/>
                <w:sz w:val="20"/>
                <w:szCs w:val="20"/>
                <w:lang w:eastAsia="ar-SA"/>
              </w:rPr>
              <w:t>Uzasadnienie wyboru KEW wprowadzono w pkt c.</w:t>
            </w:r>
          </w:p>
          <w:p w:rsidR="00560461" w:rsidRPr="0017373C" w:rsidRDefault="00560461" w:rsidP="00004677">
            <w:pPr>
              <w:keepNext/>
              <w:keepLines/>
              <w:tabs>
                <w:tab w:val="left" w:pos="709"/>
              </w:tabs>
              <w:suppressAutoHyphens/>
              <w:spacing w:before="240" w:after="120"/>
              <w:ind w:left="142"/>
              <w:jc w:val="both"/>
              <w:rPr>
                <w:rFonts w:cs="Calibri"/>
                <w:b/>
                <w:sz w:val="20"/>
                <w:szCs w:val="20"/>
                <w:u w:val="single"/>
                <w:lang w:eastAsia="ar-SA"/>
              </w:rPr>
            </w:pPr>
            <w:r w:rsidRPr="0017373C">
              <w:rPr>
                <w:rFonts w:cs="Calibri"/>
                <w:b/>
                <w:sz w:val="20"/>
                <w:szCs w:val="20"/>
                <w:u w:val="single"/>
                <w:lang w:eastAsia="ar-SA"/>
              </w:rPr>
              <w:t>Wskaźnik finansowy</w:t>
            </w:r>
          </w:p>
          <w:p w:rsidR="00560461" w:rsidRPr="0017373C" w:rsidRDefault="00560461" w:rsidP="00004677">
            <w:pPr>
              <w:keepNext/>
              <w:keepLines/>
              <w:suppressAutoHyphens/>
              <w:autoSpaceDE w:val="0"/>
              <w:spacing w:after="120" w:line="240" w:lineRule="auto"/>
              <w:ind w:left="142"/>
              <w:jc w:val="both"/>
              <w:rPr>
                <w:rFonts w:cs="Calibri"/>
                <w:color w:val="000000"/>
                <w:sz w:val="20"/>
                <w:szCs w:val="20"/>
                <w:lang w:eastAsia="ar-SA"/>
              </w:rPr>
            </w:pPr>
            <w:r w:rsidRPr="0017373C">
              <w:rPr>
                <w:rFonts w:cs="Calibri"/>
                <w:color w:val="000000"/>
                <w:sz w:val="20"/>
                <w:szCs w:val="20"/>
                <w:lang w:eastAsia="ar-SA"/>
              </w:rPr>
              <w:t xml:space="preserve">Szacując wskaźnik finansowy wprowadzony do ram wykonania, dokonano analizy tempa wydatkowania środków w projektach wpisujących się w zakres interwencji osi priorytetowej III POPC, które w perspektywie finansowej 2007-2013 dofinansowane były przede wszystkim w ramach działania 8.3 POIG: </w:t>
            </w:r>
            <w:r w:rsidRPr="0017373C">
              <w:rPr>
                <w:rFonts w:cs="Calibri"/>
                <w:i/>
                <w:color w:val="000000"/>
                <w:sz w:val="20"/>
                <w:szCs w:val="20"/>
                <w:lang w:eastAsia="ar-SA"/>
              </w:rPr>
              <w:t>Przeciwdziałanie wykluczeniu cyfrowemu – e-</w:t>
            </w:r>
            <w:proofErr w:type="spellStart"/>
            <w:r w:rsidRPr="0017373C">
              <w:rPr>
                <w:rFonts w:cs="Calibri"/>
                <w:i/>
                <w:color w:val="000000"/>
                <w:sz w:val="20"/>
                <w:szCs w:val="20"/>
                <w:lang w:eastAsia="ar-SA"/>
              </w:rPr>
              <w:t>Inclusion</w:t>
            </w:r>
            <w:proofErr w:type="spellEnd"/>
            <w:r w:rsidRPr="0017373C">
              <w:rPr>
                <w:rFonts w:cs="Calibri"/>
                <w:color w:val="000000"/>
                <w:sz w:val="20"/>
                <w:szCs w:val="20"/>
                <w:lang w:eastAsia="ar-SA"/>
              </w:rPr>
              <w:t xml:space="preserve">. </w:t>
            </w:r>
          </w:p>
          <w:p w:rsidR="00560461" w:rsidRPr="0017373C" w:rsidRDefault="00560461" w:rsidP="00004677">
            <w:pPr>
              <w:keepNext/>
              <w:keepLines/>
              <w:suppressAutoHyphens/>
              <w:autoSpaceDE w:val="0"/>
              <w:spacing w:after="120" w:line="240" w:lineRule="auto"/>
              <w:ind w:left="142"/>
              <w:jc w:val="both"/>
              <w:rPr>
                <w:rFonts w:cs="Calibri"/>
                <w:color w:val="000000"/>
                <w:sz w:val="20"/>
                <w:szCs w:val="20"/>
                <w:lang w:eastAsia="ar-SA"/>
              </w:rPr>
            </w:pPr>
            <w:r w:rsidRPr="0017373C">
              <w:rPr>
                <w:rFonts w:cs="Calibri"/>
                <w:color w:val="000000"/>
                <w:sz w:val="20"/>
                <w:szCs w:val="20"/>
                <w:lang w:eastAsia="ar-SA"/>
              </w:rPr>
              <w:t xml:space="preserve">W działaniu 8.3 POIG realizowanych jest 619 projektów o wartości wydatków kwalifikowalnych 1,2 mld PLN, w tym 1,0 mld PLN dofinansowania ze środków UE. Pierwsze wydatki wykazane we wnioskach o płatność na poziomie 0,6 mln PLN odnotowano w 2009 roku (tj. roku, w którym zawarto umowy o dofinansowanie projektów). W kolejnych dwóch latach, odnotowano wydatki wykazane we wnioskach o płatność na poziomie 21,4 mln PLN w 2010 i 26,4 mln PLN w 2011 r. Szybsze tempo odnotowano w 2012 r., gdzie wartość całkowitych wydatków kwalifikowalnych we wnioskach o płatność wyniosła 93,1 mln PLN oraz w roku 2013 tj. 256,2 mln PLN. Według stanu na maj 2014 r. wartość wydatków kwalifikowalnych w części UE stanowiła 38% alokacji na działanie 8.3 POIG, zaś na koniec 2011 r., tj. odpowiednika roku 2018 dla perspektywy finansowej 2014-2020, wydatki stanowiły zaledwie 4% alokacji na działanie. </w:t>
            </w:r>
          </w:p>
          <w:p w:rsidR="00560461" w:rsidRPr="0017373C" w:rsidRDefault="00560461" w:rsidP="00B570A5">
            <w:pPr>
              <w:keepNext/>
              <w:keepLines/>
              <w:suppressAutoHyphens/>
              <w:autoSpaceDE w:val="0"/>
              <w:spacing w:before="120" w:after="120" w:line="240" w:lineRule="auto"/>
              <w:ind w:left="142"/>
              <w:jc w:val="both"/>
              <w:rPr>
                <w:rFonts w:cs="Calibri"/>
                <w:lang w:eastAsia="ar-SA"/>
              </w:rPr>
            </w:pPr>
            <w:r w:rsidRPr="0017373C">
              <w:rPr>
                <w:rFonts w:cs="Calibri"/>
                <w:color w:val="000000"/>
                <w:sz w:val="20"/>
                <w:szCs w:val="20"/>
                <w:lang w:eastAsia="ar-SA"/>
              </w:rPr>
              <w:t>Biorąc pod uwagę, że kontraktacja w większej skali nastąpiła w działaniu 8.3 POIG już od roku 2009, to przy realizacji zakładanego wariantu podpisywania umów w osi III POPC (co nastąpiłoby to już od 2015 r.), zakłada możliwość wydatkowanych środków już od 2016</w:t>
            </w:r>
            <w:r w:rsidR="00392A37">
              <w:rPr>
                <w:rFonts w:cs="Calibri"/>
                <w:color w:val="000000"/>
                <w:sz w:val="20"/>
                <w:szCs w:val="20"/>
                <w:lang w:eastAsia="ar-SA"/>
              </w:rPr>
              <w:t xml:space="preserve"> </w:t>
            </w:r>
            <w:r w:rsidRPr="0017373C">
              <w:rPr>
                <w:rFonts w:cs="Calibri"/>
                <w:color w:val="000000"/>
                <w:sz w:val="20"/>
                <w:szCs w:val="20"/>
                <w:lang w:eastAsia="ar-SA"/>
              </w:rPr>
              <w:t>r</w:t>
            </w:r>
            <w:r w:rsidR="00392A37">
              <w:rPr>
                <w:rFonts w:cs="Calibri"/>
                <w:color w:val="000000"/>
                <w:sz w:val="20"/>
                <w:szCs w:val="20"/>
                <w:lang w:eastAsia="ar-SA"/>
              </w:rPr>
              <w:t>.</w:t>
            </w:r>
            <w:r w:rsidR="00562D1A">
              <w:rPr>
                <w:rFonts w:cs="Calibri"/>
                <w:color w:val="000000"/>
                <w:sz w:val="20"/>
                <w:szCs w:val="20"/>
                <w:lang w:eastAsia="ar-SA"/>
              </w:rPr>
              <w:t xml:space="preserve"> </w:t>
            </w:r>
            <w:r w:rsidRPr="0017373C">
              <w:rPr>
                <w:rFonts w:cs="Calibri"/>
                <w:color w:val="000000"/>
                <w:sz w:val="20"/>
                <w:szCs w:val="20"/>
                <w:lang w:eastAsia="ar-SA"/>
              </w:rPr>
              <w:t xml:space="preserve">W związku z powyższym, mając </w:t>
            </w:r>
            <w:r w:rsidRPr="00275402">
              <w:rPr>
                <w:rFonts w:cs="Calibri"/>
                <w:color w:val="000000"/>
                <w:sz w:val="20"/>
                <w:szCs w:val="20"/>
                <w:lang w:eastAsia="ar-SA"/>
              </w:rPr>
              <w:t xml:space="preserve">jednocześnie na uwadze zobowiązania wynikające z zasady N+3 dla Programu, przyjmuje się jako cel pośredni dla całkowitej kwoty certyfikowanych wydatków kwalifikowalnych poziom </w:t>
            </w:r>
            <w:r w:rsidR="00562D1A" w:rsidRPr="00B570A5">
              <w:rPr>
                <w:rFonts w:cs="Calibri"/>
                <w:color w:val="000000"/>
                <w:sz w:val="20"/>
                <w:szCs w:val="20"/>
                <w:lang w:eastAsia="ar-SA"/>
              </w:rPr>
              <w:t>6,0</w:t>
            </w:r>
            <w:r w:rsidRPr="00B570A5">
              <w:rPr>
                <w:rFonts w:cs="Calibri"/>
                <w:color w:val="000000"/>
                <w:sz w:val="20"/>
                <w:szCs w:val="20"/>
                <w:lang w:eastAsia="ar-SA"/>
              </w:rPr>
              <w:t>% alokacji</w:t>
            </w:r>
            <w:r w:rsidR="00D47E99" w:rsidRPr="00B570A5">
              <w:rPr>
                <w:rFonts w:cs="Calibri"/>
                <w:color w:val="000000"/>
                <w:sz w:val="20"/>
                <w:szCs w:val="20"/>
                <w:lang w:eastAsia="ar-SA"/>
              </w:rPr>
              <w:t>.</w:t>
            </w:r>
            <w:r w:rsidR="00D47E99" w:rsidRPr="004D021A">
              <w:rPr>
                <w:rFonts w:cs="Calibri"/>
                <w:color w:val="000000"/>
                <w:sz w:val="20"/>
                <w:szCs w:val="20"/>
                <w:lang w:eastAsia="ar-SA"/>
              </w:rPr>
              <w:t xml:space="preserve"> Tak ustalony poziom certyfikacji wynika również z  </w:t>
            </w:r>
            <w:r w:rsidR="00D47E99" w:rsidRPr="004D021A">
              <w:rPr>
                <w:rFonts w:cs="Calibri"/>
                <w:sz w:val="20"/>
                <w:szCs w:val="20"/>
              </w:rPr>
              <w:t>konieczności</w:t>
            </w:r>
            <w:r w:rsidR="00D47E99" w:rsidRPr="00B570A5">
              <w:rPr>
                <w:rFonts w:cs="Calibri"/>
                <w:sz w:val="20"/>
                <w:szCs w:val="20"/>
              </w:rPr>
              <w:t xml:space="preserve"> przeformułowani</w:t>
            </w:r>
            <w:r w:rsidR="00D47E99" w:rsidRPr="004D021A">
              <w:rPr>
                <w:rFonts w:cs="Calibri"/>
                <w:sz w:val="20"/>
                <w:szCs w:val="20"/>
              </w:rPr>
              <w:t>a</w:t>
            </w:r>
            <w:r w:rsidR="00D47E99" w:rsidRPr="00B570A5">
              <w:rPr>
                <w:rFonts w:cs="Calibri"/>
                <w:sz w:val="20"/>
                <w:szCs w:val="20"/>
              </w:rPr>
              <w:t xml:space="preserve"> celów interwencji na naukę programowania oraz cyfryzację szkół. Wpisuje się to w ogólnoświatowy trend w rozwoju umiejętności cyfrowych i stanowi odpowiedź na działania KE na rzecz zachęcenia Państw Członkowskich do upowszechniania programowania wśród uczniów. Działania te wyrażone zostały w Komunikacie </w:t>
            </w:r>
            <w:proofErr w:type="spellStart"/>
            <w:r w:rsidR="00D47E99" w:rsidRPr="00B570A5">
              <w:rPr>
                <w:rFonts w:cs="Calibri"/>
                <w:i/>
                <w:sz w:val="20"/>
                <w:szCs w:val="20"/>
              </w:rPr>
              <w:t>Opening</w:t>
            </w:r>
            <w:proofErr w:type="spellEnd"/>
            <w:r w:rsidR="00D47E99" w:rsidRPr="00B570A5">
              <w:rPr>
                <w:rFonts w:cs="Calibri"/>
                <w:i/>
                <w:sz w:val="20"/>
                <w:szCs w:val="20"/>
              </w:rPr>
              <w:t xml:space="preserve"> </w:t>
            </w:r>
            <w:proofErr w:type="spellStart"/>
            <w:r w:rsidR="00D47E99" w:rsidRPr="00B570A5">
              <w:rPr>
                <w:rFonts w:cs="Calibri"/>
                <w:i/>
                <w:sz w:val="20"/>
                <w:szCs w:val="20"/>
              </w:rPr>
              <w:t>Up</w:t>
            </w:r>
            <w:proofErr w:type="spellEnd"/>
            <w:r w:rsidR="00D47E99" w:rsidRPr="00B570A5">
              <w:rPr>
                <w:rFonts w:cs="Calibri"/>
                <w:i/>
                <w:sz w:val="20"/>
                <w:szCs w:val="20"/>
              </w:rPr>
              <w:t xml:space="preserve"> </w:t>
            </w:r>
            <w:proofErr w:type="spellStart"/>
            <w:r w:rsidR="00D47E99" w:rsidRPr="00B570A5">
              <w:rPr>
                <w:rFonts w:cs="Calibri"/>
                <w:i/>
                <w:sz w:val="20"/>
                <w:szCs w:val="20"/>
              </w:rPr>
              <w:t>Education</w:t>
            </w:r>
            <w:proofErr w:type="spellEnd"/>
            <w:r w:rsidR="00D47E99" w:rsidRPr="00B570A5">
              <w:rPr>
                <w:rFonts w:cs="Calibri"/>
                <w:i/>
                <w:sz w:val="20"/>
                <w:szCs w:val="20"/>
              </w:rPr>
              <w:t xml:space="preserve"> - </w:t>
            </w:r>
            <w:proofErr w:type="spellStart"/>
            <w:r w:rsidR="00D47E99" w:rsidRPr="00B570A5">
              <w:rPr>
                <w:rFonts w:cs="Calibri"/>
                <w:i/>
                <w:sz w:val="20"/>
                <w:szCs w:val="20"/>
              </w:rPr>
              <w:t>Making</w:t>
            </w:r>
            <w:proofErr w:type="spellEnd"/>
            <w:r w:rsidR="00D47E99" w:rsidRPr="00B570A5">
              <w:rPr>
                <w:rFonts w:cs="Calibri"/>
                <w:i/>
                <w:sz w:val="20"/>
                <w:szCs w:val="20"/>
              </w:rPr>
              <w:t xml:space="preserve"> the 21th </w:t>
            </w:r>
            <w:proofErr w:type="spellStart"/>
            <w:r w:rsidR="00D47E99" w:rsidRPr="00B570A5">
              <w:rPr>
                <w:rFonts w:cs="Calibri"/>
                <w:i/>
                <w:sz w:val="20"/>
                <w:szCs w:val="20"/>
              </w:rPr>
              <w:t>century</w:t>
            </w:r>
            <w:proofErr w:type="spellEnd"/>
            <w:r w:rsidR="00D47E99" w:rsidRPr="00B570A5">
              <w:rPr>
                <w:rFonts w:cs="Calibri"/>
                <w:i/>
                <w:sz w:val="20"/>
                <w:szCs w:val="20"/>
              </w:rPr>
              <w:t xml:space="preserve"> </w:t>
            </w:r>
            <w:proofErr w:type="spellStart"/>
            <w:r w:rsidR="00D47E99" w:rsidRPr="00B570A5">
              <w:rPr>
                <w:rFonts w:cs="Calibri"/>
                <w:i/>
                <w:sz w:val="20"/>
                <w:szCs w:val="20"/>
              </w:rPr>
              <w:t>classroom</w:t>
            </w:r>
            <w:proofErr w:type="spellEnd"/>
            <w:r w:rsidR="00D47E99" w:rsidRPr="00B570A5">
              <w:rPr>
                <w:rFonts w:cs="Calibri"/>
                <w:i/>
                <w:sz w:val="20"/>
                <w:szCs w:val="20"/>
              </w:rPr>
              <w:t xml:space="preserve"> a </w:t>
            </w:r>
            <w:proofErr w:type="spellStart"/>
            <w:r w:rsidR="00D47E99" w:rsidRPr="00B570A5">
              <w:rPr>
                <w:rFonts w:cs="Calibri"/>
                <w:i/>
                <w:sz w:val="20"/>
                <w:szCs w:val="20"/>
              </w:rPr>
              <w:t>reality</w:t>
            </w:r>
            <w:proofErr w:type="spellEnd"/>
            <w:r w:rsidR="00D47E99" w:rsidRPr="00B570A5">
              <w:rPr>
                <w:rFonts w:cs="Calibri"/>
                <w:sz w:val="20"/>
                <w:szCs w:val="20"/>
              </w:rPr>
              <w:t xml:space="preserve"> oraz licznych inicjatywach, które KE aktywnie wspiera, takich jak </w:t>
            </w:r>
            <w:r w:rsidR="00D47E99" w:rsidRPr="00B570A5">
              <w:rPr>
                <w:rFonts w:cs="Calibri"/>
                <w:i/>
                <w:sz w:val="20"/>
                <w:szCs w:val="20"/>
              </w:rPr>
              <w:t xml:space="preserve">EU </w:t>
            </w:r>
            <w:proofErr w:type="spellStart"/>
            <w:r w:rsidR="00D47E99" w:rsidRPr="00B570A5">
              <w:rPr>
                <w:rFonts w:cs="Calibri"/>
                <w:i/>
                <w:sz w:val="20"/>
                <w:szCs w:val="20"/>
              </w:rPr>
              <w:t>Code</w:t>
            </w:r>
            <w:proofErr w:type="spellEnd"/>
            <w:r w:rsidR="00D47E99" w:rsidRPr="00B570A5">
              <w:rPr>
                <w:rFonts w:cs="Calibri"/>
                <w:i/>
                <w:sz w:val="20"/>
                <w:szCs w:val="20"/>
              </w:rPr>
              <w:t xml:space="preserve"> </w:t>
            </w:r>
            <w:proofErr w:type="spellStart"/>
            <w:r w:rsidR="00D47E99" w:rsidRPr="00B570A5">
              <w:rPr>
                <w:rFonts w:cs="Calibri"/>
                <w:i/>
                <w:sz w:val="20"/>
                <w:szCs w:val="20"/>
              </w:rPr>
              <w:t>Week</w:t>
            </w:r>
            <w:proofErr w:type="spellEnd"/>
            <w:r w:rsidR="00D47E99" w:rsidRPr="00B570A5">
              <w:rPr>
                <w:rFonts w:cs="Calibri"/>
                <w:sz w:val="20"/>
                <w:szCs w:val="20"/>
              </w:rPr>
              <w:t xml:space="preserve">, </w:t>
            </w:r>
            <w:r w:rsidR="00D47E99" w:rsidRPr="00B570A5">
              <w:rPr>
                <w:rFonts w:cs="Calibri"/>
                <w:i/>
                <w:sz w:val="20"/>
                <w:szCs w:val="20"/>
              </w:rPr>
              <w:t xml:space="preserve">Digital </w:t>
            </w:r>
            <w:proofErr w:type="spellStart"/>
            <w:r w:rsidR="00D47E99" w:rsidRPr="00B570A5">
              <w:rPr>
                <w:rFonts w:cs="Calibri"/>
                <w:i/>
                <w:sz w:val="20"/>
                <w:szCs w:val="20"/>
              </w:rPr>
              <w:t>Skills</w:t>
            </w:r>
            <w:proofErr w:type="spellEnd"/>
            <w:r w:rsidR="00D47E99" w:rsidRPr="00B570A5">
              <w:rPr>
                <w:rFonts w:cs="Calibri"/>
                <w:i/>
                <w:sz w:val="20"/>
                <w:szCs w:val="20"/>
              </w:rPr>
              <w:t xml:space="preserve"> and </w:t>
            </w:r>
            <w:proofErr w:type="spellStart"/>
            <w:r w:rsidR="00D47E99" w:rsidRPr="00B570A5">
              <w:rPr>
                <w:rFonts w:cs="Calibri"/>
                <w:i/>
                <w:sz w:val="20"/>
                <w:szCs w:val="20"/>
              </w:rPr>
              <w:t>Jobs</w:t>
            </w:r>
            <w:proofErr w:type="spellEnd"/>
            <w:r w:rsidR="00D47E99" w:rsidRPr="00B570A5">
              <w:rPr>
                <w:rFonts w:cs="Calibri"/>
                <w:i/>
                <w:sz w:val="20"/>
                <w:szCs w:val="20"/>
              </w:rPr>
              <w:t xml:space="preserve"> </w:t>
            </w:r>
            <w:proofErr w:type="spellStart"/>
            <w:r w:rsidR="00D47E99" w:rsidRPr="00B570A5">
              <w:rPr>
                <w:rFonts w:cs="Calibri"/>
                <w:i/>
                <w:sz w:val="20"/>
                <w:szCs w:val="20"/>
              </w:rPr>
              <w:t>Coalition</w:t>
            </w:r>
            <w:proofErr w:type="spellEnd"/>
            <w:r w:rsidR="00D47E99" w:rsidRPr="00B570A5">
              <w:rPr>
                <w:rFonts w:cs="Calibri"/>
                <w:sz w:val="20"/>
                <w:szCs w:val="20"/>
              </w:rPr>
              <w:t xml:space="preserve">, czy </w:t>
            </w:r>
            <w:proofErr w:type="spellStart"/>
            <w:r w:rsidR="00D47E99" w:rsidRPr="00B570A5">
              <w:rPr>
                <w:rFonts w:cs="Calibri"/>
                <w:i/>
                <w:sz w:val="20"/>
                <w:szCs w:val="20"/>
              </w:rPr>
              <w:t>European</w:t>
            </w:r>
            <w:proofErr w:type="spellEnd"/>
            <w:r w:rsidR="00D47E99" w:rsidRPr="00B570A5">
              <w:rPr>
                <w:rFonts w:cs="Calibri"/>
                <w:i/>
                <w:sz w:val="20"/>
                <w:szCs w:val="20"/>
              </w:rPr>
              <w:t xml:space="preserve"> </w:t>
            </w:r>
            <w:proofErr w:type="spellStart"/>
            <w:r w:rsidR="00D47E99" w:rsidRPr="00B570A5">
              <w:rPr>
                <w:rFonts w:cs="Calibri"/>
                <w:i/>
                <w:sz w:val="20"/>
                <w:szCs w:val="20"/>
              </w:rPr>
              <w:t>Coding</w:t>
            </w:r>
            <w:proofErr w:type="spellEnd"/>
            <w:r w:rsidR="00D47E99" w:rsidRPr="00B570A5">
              <w:rPr>
                <w:rFonts w:cs="Calibri"/>
                <w:i/>
                <w:sz w:val="20"/>
                <w:szCs w:val="20"/>
              </w:rPr>
              <w:t xml:space="preserve"> </w:t>
            </w:r>
            <w:proofErr w:type="spellStart"/>
            <w:r w:rsidR="00D47E99" w:rsidRPr="00B570A5">
              <w:rPr>
                <w:rFonts w:cs="Calibri"/>
                <w:i/>
                <w:sz w:val="20"/>
                <w:szCs w:val="20"/>
              </w:rPr>
              <w:t>Inititative</w:t>
            </w:r>
            <w:proofErr w:type="spellEnd"/>
            <w:r w:rsidR="00D47E99" w:rsidRPr="00B570A5">
              <w:rPr>
                <w:rFonts w:cs="Calibri"/>
                <w:sz w:val="20"/>
                <w:szCs w:val="20"/>
              </w:rPr>
              <w:t>.</w:t>
            </w:r>
            <w:r w:rsidR="00D47E99" w:rsidRPr="00B570A5">
              <w:rPr>
                <w:rFonts w:cs="Calibri"/>
                <w:color w:val="000000"/>
                <w:sz w:val="20"/>
                <w:szCs w:val="20"/>
                <w:lang w:eastAsia="ar-SA"/>
              </w:rPr>
              <w:t xml:space="preserve"> </w:t>
            </w:r>
            <w:r w:rsidR="00275402" w:rsidRPr="006D21F8">
              <w:rPr>
                <w:rFonts w:cs="Calibri"/>
                <w:color w:val="000000"/>
                <w:sz w:val="20"/>
                <w:szCs w:val="20"/>
                <w:lang w:eastAsia="ar-SA"/>
              </w:rPr>
              <w:t>Z</w:t>
            </w:r>
            <w:r w:rsidR="00275402" w:rsidRPr="00B570A5">
              <w:rPr>
                <w:rFonts w:cs="Calibri"/>
                <w:sz w:val="20"/>
                <w:szCs w:val="20"/>
              </w:rPr>
              <w:t xml:space="preserve">miana </w:t>
            </w:r>
            <w:r w:rsidR="00275402" w:rsidRPr="006D21F8">
              <w:rPr>
                <w:rFonts w:cs="Calibri"/>
                <w:sz w:val="20"/>
                <w:szCs w:val="20"/>
              </w:rPr>
              <w:t xml:space="preserve">ta </w:t>
            </w:r>
            <w:r w:rsidR="00275402" w:rsidRPr="00B570A5">
              <w:rPr>
                <w:rFonts w:cs="Calibri"/>
                <w:sz w:val="20"/>
                <w:szCs w:val="20"/>
              </w:rPr>
              <w:t>będzie miała pozytywny wpływ na wzmocnienie synergii pomiędzy realizacją projektów OSE w ramach I osi POPC i</w:t>
            </w:r>
            <w:r w:rsidR="00275402" w:rsidRPr="006D21F8">
              <w:rPr>
                <w:rFonts w:cs="Calibri"/>
                <w:sz w:val="20"/>
                <w:szCs w:val="20"/>
              </w:rPr>
              <w:t xml:space="preserve"> projektów z</w:t>
            </w:r>
            <w:r w:rsidR="00275402" w:rsidRPr="00B570A5">
              <w:rPr>
                <w:rFonts w:cs="Calibri"/>
                <w:sz w:val="20"/>
                <w:szCs w:val="20"/>
              </w:rPr>
              <w:t xml:space="preserve"> III osi </w:t>
            </w:r>
            <w:proofErr w:type="spellStart"/>
            <w:r w:rsidR="00275402" w:rsidRPr="00B570A5">
              <w:rPr>
                <w:rFonts w:cs="Calibri"/>
                <w:sz w:val="20"/>
                <w:szCs w:val="20"/>
              </w:rPr>
              <w:t>POPC.</w:t>
            </w:r>
            <w:r w:rsidR="00D47E99" w:rsidRPr="00B570A5">
              <w:rPr>
                <w:rFonts w:cs="Calibri"/>
                <w:bCs/>
                <w:color w:val="000000"/>
                <w:sz w:val="20"/>
                <w:szCs w:val="20"/>
                <w:lang w:eastAsia="pl-PL"/>
              </w:rPr>
              <w:t>N</w:t>
            </w:r>
            <w:r w:rsidRPr="00B570A5">
              <w:rPr>
                <w:rFonts w:cs="Calibri"/>
                <w:bCs/>
                <w:color w:val="000000"/>
                <w:sz w:val="20"/>
                <w:szCs w:val="20"/>
                <w:lang w:eastAsia="pl-PL"/>
              </w:rPr>
              <w:t>a</w:t>
            </w:r>
            <w:proofErr w:type="spellEnd"/>
            <w:r w:rsidRPr="00B570A5">
              <w:rPr>
                <w:rFonts w:cs="Calibri"/>
                <w:bCs/>
                <w:color w:val="000000"/>
                <w:sz w:val="20"/>
                <w:szCs w:val="20"/>
                <w:lang w:eastAsia="pl-PL"/>
              </w:rPr>
              <w:t xml:space="preserve"> 2023 r. poziom 100% całkowitych wydatków kwalifikowalnych, przy</w:t>
            </w:r>
            <w:r w:rsidRPr="0017373C">
              <w:rPr>
                <w:rFonts w:cs="Calibri"/>
                <w:bCs/>
                <w:color w:val="000000"/>
                <w:sz w:val="20"/>
                <w:szCs w:val="20"/>
                <w:lang w:eastAsia="pl-PL"/>
              </w:rPr>
              <w:t xml:space="preserve"> czym o</w:t>
            </w:r>
            <w:r w:rsidRPr="0017373C">
              <w:rPr>
                <w:sz w:val="20"/>
                <w:szCs w:val="20"/>
              </w:rPr>
              <w:t>cena realizacji wartości końcowej dla wskaźnika finansowego będzie uwzględniała również wydatki certyfikowane po 2023 r.</w:t>
            </w:r>
          </w:p>
        </w:tc>
      </w:tr>
    </w:tbl>
    <w:p w:rsidR="00560461" w:rsidRPr="0017373C" w:rsidRDefault="00560461" w:rsidP="00560461">
      <w:pPr>
        <w:numPr>
          <w:ilvl w:val="0"/>
          <w:numId w:val="21"/>
        </w:numPr>
        <w:suppressAutoHyphens/>
        <w:spacing w:before="120" w:after="120" w:line="240" w:lineRule="auto"/>
        <w:jc w:val="both"/>
        <w:rPr>
          <w:rFonts w:cs="Calibri"/>
          <w:sz w:val="20"/>
          <w:szCs w:val="20"/>
          <w:lang w:eastAsia="ar-SA"/>
        </w:rPr>
      </w:pPr>
      <w:r w:rsidRPr="0017373C">
        <w:rPr>
          <w:rFonts w:cs="Calibri"/>
          <w:sz w:val="20"/>
          <w:szCs w:val="20"/>
          <w:lang w:eastAsia="ar-SA"/>
        </w:rPr>
        <w:lastRenderedPageBreak/>
        <w:t>informacje o tym, jaka część alokacji finansowej dotyczy projektów, którym odpowiadają wskaźniki produktu i kluczowe etapy wdrażania określone w ramach wykonania, oraz wyjaśnienie sposobu obliczenia tej części:</w:t>
      </w:r>
    </w:p>
    <w:tbl>
      <w:tblPr>
        <w:tblW w:w="0" w:type="auto"/>
        <w:tblInd w:w="-5" w:type="dxa"/>
        <w:tblLayout w:type="fixed"/>
        <w:tblLook w:val="0000" w:firstRow="0" w:lastRow="0" w:firstColumn="0" w:lastColumn="0" w:noHBand="0" w:noVBand="0"/>
      </w:tblPr>
      <w:tblGrid>
        <w:gridCol w:w="9222"/>
      </w:tblGrid>
      <w:tr w:rsidR="00560461" w:rsidRPr="0017373C" w:rsidTr="0000467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autoSpaceDE w:val="0"/>
              <w:spacing w:before="120" w:after="120" w:line="240" w:lineRule="auto"/>
              <w:jc w:val="both"/>
              <w:rPr>
                <w:rFonts w:cs="Calibri"/>
                <w:lang w:eastAsia="ar-SA"/>
              </w:rPr>
            </w:pPr>
            <w:r w:rsidRPr="0017373C">
              <w:rPr>
                <w:rFonts w:cs="Calibri"/>
                <w:color w:val="000000"/>
                <w:sz w:val="20"/>
                <w:szCs w:val="20"/>
                <w:lang w:eastAsia="ar-SA"/>
              </w:rPr>
              <w:t xml:space="preserve">Wskaźnik </w:t>
            </w:r>
            <w:r w:rsidRPr="0017373C">
              <w:rPr>
                <w:rFonts w:cs="Calibri"/>
                <w:i/>
                <w:color w:val="000000"/>
                <w:sz w:val="20"/>
                <w:szCs w:val="20"/>
                <w:lang w:eastAsia="ar-SA"/>
              </w:rPr>
              <w:t>Liczba osób objętych działaniami szkoleniowymi w zakresie korzystania z Internetu (w tym e-usług)</w:t>
            </w:r>
            <w:r w:rsidRPr="0017373C">
              <w:rPr>
                <w:rFonts w:cs="Calibri"/>
                <w:color w:val="000000"/>
                <w:sz w:val="20"/>
                <w:szCs w:val="20"/>
                <w:lang w:eastAsia="ar-SA"/>
              </w:rPr>
              <w:t xml:space="preserve"> będzie realizowany w działani</w:t>
            </w:r>
            <w:r>
              <w:rPr>
                <w:rFonts w:cs="Calibri"/>
                <w:color w:val="000000"/>
                <w:sz w:val="20"/>
                <w:szCs w:val="20"/>
                <w:lang w:eastAsia="ar-SA"/>
              </w:rPr>
              <w:t>ach</w:t>
            </w:r>
            <w:r w:rsidRPr="0017373C">
              <w:rPr>
                <w:rFonts w:cs="Calibri"/>
                <w:color w:val="000000"/>
                <w:sz w:val="20"/>
                <w:szCs w:val="20"/>
                <w:lang w:eastAsia="ar-SA"/>
              </w:rPr>
              <w:t xml:space="preserve"> 3.1</w:t>
            </w:r>
            <w:r>
              <w:rPr>
                <w:rFonts w:cs="Calibri"/>
                <w:color w:val="000000"/>
                <w:sz w:val="20"/>
                <w:szCs w:val="20"/>
                <w:lang w:eastAsia="ar-SA"/>
              </w:rPr>
              <w:t xml:space="preserve"> oraz 3.2</w:t>
            </w:r>
            <w:r w:rsidRPr="0017373C">
              <w:rPr>
                <w:rFonts w:cs="Calibri"/>
                <w:color w:val="000000"/>
                <w:sz w:val="20"/>
                <w:szCs w:val="20"/>
                <w:lang w:eastAsia="ar-SA"/>
              </w:rPr>
              <w:t xml:space="preserve"> POPC. </w:t>
            </w:r>
            <w:r>
              <w:rPr>
                <w:rFonts w:cs="Calibri"/>
                <w:color w:val="000000"/>
                <w:sz w:val="20"/>
                <w:szCs w:val="20"/>
                <w:lang w:eastAsia="ar-SA"/>
              </w:rPr>
              <w:t>J</w:t>
            </w:r>
            <w:r w:rsidRPr="0017373C">
              <w:rPr>
                <w:rFonts w:cs="Calibri"/>
                <w:color w:val="000000"/>
                <w:sz w:val="20"/>
                <w:szCs w:val="20"/>
                <w:lang w:eastAsia="ar-SA"/>
              </w:rPr>
              <w:t xml:space="preserve">est </w:t>
            </w:r>
            <w:r>
              <w:rPr>
                <w:rFonts w:cs="Calibri"/>
                <w:color w:val="000000"/>
                <w:sz w:val="20"/>
                <w:szCs w:val="20"/>
                <w:lang w:eastAsia="ar-SA"/>
              </w:rPr>
              <w:t xml:space="preserve">on </w:t>
            </w:r>
            <w:r w:rsidRPr="0017373C">
              <w:rPr>
                <w:rFonts w:cs="Calibri"/>
                <w:color w:val="000000"/>
                <w:sz w:val="20"/>
                <w:szCs w:val="20"/>
                <w:lang w:eastAsia="ar-SA"/>
              </w:rPr>
              <w:t>jednym z trzech wskaźników zawartych w osi III w</w:t>
            </w:r>
            <w:r>
              <w:rPr>
                <w:rFonts w:cs="Calibri"/>
                <w:color w:val="000000"/>
                <w:sz w:val="20"/>
                <w:szCs w:val="20"/>
                <w:lang w:eastAsia="ar-SA"/>
              </w:rPr>
              <w:t> </w:t>
            </w:r>
            <w:r w:rsidRPr="0017373C">
              <w:rPr>
                <w:rFonts w:cs="Calibri"/>
                <w:color w:val="000000"/>
                <w:sz w:val="20"/>
                <w:szCs w:val="20"/>
                <w:lang w:eastAsia="ar-SA"/>
              </w:rPr>
              <w:t xml:space="preserve">ramach Programu Operacyjnego Polska Cyfrowa. W związku z tym, że alokacja przeznaczona na </w:t>
            </w:r>
            <w:r>
              <w:rPr>
                <w:rFonts w:cs="Calibri"/>
                <w:color w:val="000000"/>
                <w:sz w:val="20"/>
                <w:szCs w:val="20"/>
                <w:lang w:eastAsia="ar-SA"/>
              </w:rPr>
              <w:t>ww.</w:t>
            </w:r>
            <w:r w:rsidRPr="0017373C">
              <w:rPr>
                <w:rFonts w:cs="Calibri"/>
                <w:color w:val="000000"/>
                <w:sz w:val="20"/>
                <w:szCs w:val="20"/>
                <w:lang w:eastAsia="ar-SA"/>
              </w:rPr>
              <w:t xml:space="preserve"> </w:t>
            </w:r>
            <w:r>
              <w:rPr>
                <w:rFonts w:cs="Calibri"/>
                <w:color w:val="000000"/>
                <w:sz w:val="20"/>
                <w:szCs w:val="20"/>
                <w:lang w:eastAsia="ar-SA"/>
              </w:rPr>
              <w:t>d</w:t>
            </w:r>
            <w:r w:rsidRPr="0017373C">
              <w:rPr>
                <w:rFonts w:cs="Calibri"/>
                <w:color w:val="000000"/>
                <w:sz w:val="20"/>
                <w:szCs w:val="20"/>
                <w:lang w:eastAsia="ar-SA"/>
              </w:rPr>
              <w:t>ziałani</w:t>
            </w:r>
            <w:r>
              <w:rPr>
                <w:rFonts w:cs="Calibri"/>
                <w:color w:val="000000"/>
                <w:sz w:val="20"/>
                <w:szCs w:val="20"/>
                <w:lang w:eastAsia="ar-SA"/>
              </w:rPr>
              <w:t>a</w:t>
            </w:r>
            <w:r w:rsidRPr="0017373C">
              <w:rPr>
                <w:rFonts w:cs="Calibri"/>
                <w:color w:val="000000"/>
                <w:sz w:val="20"/>
                <w:szCs w:val="20"/>
                <w:lang w:eastAsia="ar-SA"/>
              </w:rPr>
              <w:t xml:space="preserve"> </w:t>
            </w:r>
            <w:r>
              <w:rPr>
                <w:rFonts w:cs="Calibri"/>
                <w:color w:val="000000"/>
                <w:sz w:val="20"/>
                <w:szCs w:val="20"/>
                <w:lang w:eastAsia="ar-SA"/>
              </w:rPr>
              <w:t xml:space="preserve">stanowi </w:t>
            </w:r>
            <w:r w:rsidRPr="0017373C">
              <w:rPr>
                <w:rFonts w:cs="Calibri"/>
                <w:color w:val="000000"/>
                <w:sz w:val="20"/>
                <w:szCs w:val="20"/>
                <w:lang w:eastAsia="ar-SA"/>
              </w:rPr>
              <w:t xml:space="preserve">ponad </w:t>
            </w:r>
            <w:r>
              <w:rPr>
                <w:rFonts w:cs="Calibri"/>
                <w:color w:val="000000"/>
                <w:sz w:val="20"/>
                <w:szCs w:val="20"/>
                <w:lang w:eastAsia="ar-SA"/>
              </w:rPr>
              <w:t>79</w:t>
            </w:r>
            <w:r w:rsidRPr="0017373C">
              <w:rPr>
                <w:rFonts w:cs="Calibri"/>
                <w:color w:val="000000"/>
                <w:sz w:val="20"/>
                <w:szCs w:val="20"/>
                <w:lang w:eastAsia="ar-SA"/>
              </w:rPr>
              <w:t>% całości środków na przedmiotową oś priorytetową</w:t>
            </w:r>
            <w:r>
              <w:rPr>
                <w:rFonts w:cs="Calibri"/>
                <w:color w:val="000000"/>
                <w:sz w:val="20"/>
                <w:szCs w:val="20"/>
                <w:lang w:eastAsia="ar-SA"/>
              </w:rPr>
              <w:t>,</w:t>
            </w:r>
            <w:r w:rsidRPr="0017373C">
              <w:rPr>
                <w:rFonts w:cs="Calibri"/>
                <w:color w:val="000000"/>
                <w:sz w:val="20"/>
                <w:szCs w:val="20"/>
                <w:lang w:eastAsia="ar-SA"/>
              </w:rPr>
              <w:t xml:space="preserve"> został on wskazany do ram wykonania POPC.</w:t>
            </w:r>
          </w:p>
        </w:tc>
      </w:tr>
    </w:tbl>
    <w:p w:rsidR="00560461" w:rsidRPr="0017373C" w:rsidRDefault="00560461" w:rsidP="00560461">
      <w:pPr>
        <w:numPr>
          <w:ilvl w:val="0"/>
          <w:numId w:val="21"/>
        </w:numPr>
        <w:suppressAutoHyphens/>
        <w:spacing w:before="120" w:after="120" w:line="240" w:lineRule="auto"/>
        <w:jc w:val="both"/>
        <w:rPr>
          <w:rFonts w:cs="Calibri"/>
          <w:sz w:val="20"/>
          <w:szCs w:val="20"/>
          <w:lang w:eastAsia="ar-SA"/>
        </w:rPr>
      </w:pPr>
      <w:r w:rsidRPr="0017373C">
        <w:rPr>
          <w:rFonts w:cs="Calibri"/>
          <w:sz w:val="20"/>
          <w:szCs w:val="20"/>
          <w:lang w:eastAsia="ar-SA"/>
        </w:rPr>
        <w:t>wyjaśnienie powodów wyboru danych wskaźników/KEW w odniesieniu do logiki interwencji zastosowanej w danej osi priorytetowej:</w:t>
      </w:r>
    </w:p>
    <w:tbl>
      <w:tblPr>
        <w:tblW w:w="0" w:type="auto"/>
        <w:tblInd w:w="-5" w:type="dxa"/>
        <w:tblLook w:val="0000" w:firstRow="0" w:lastRow="0" w:firstColumn="0" w:lastColumn="0" w:noHBand="0" w:noVBand="0"/>
      </w:tblPr>
      <w:tblGrid>
        <w:gridCol w:w="9222"/>
      </w:tblGrid>
      <w:tr w:rsidR="00560461" w:rsidRPr="0017373C" w:rsidTr="0000467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autoSpaceDE w:val="0"/>
              <w:snapToGrid w:val="0"/>
              <w:spacing w:before="120" w:after="120" w:line="240" w:lineRule="auto"/>
              <w:jc w:val="both"/>
              <w:rPr>
                <w:rFonts w:cs="Calibri"/>
                <w:bCs/>
                <w:sz w:val="20"/>
                <w:szCs w:val="20"/>
                <w:lang w:eastAsia="ar-SA"/>
              </w:rPr>
            </w:pPr>
            <w:r w:rsidRPr="0017373C">
              <w:rPr>
                <w:rFonts w:cs="Calibri"/>
                <w:bCs/>
                <w:sz w:val="20"/>
                <w:szCs w:val="20"/>
                <w:lang w:eastAsia="ar-SA"/>
              </w:rPr>
              <w:lastRenderedPageBreak/>
              <w:t>Wskaźnik:</w:t>
            </w:r>
            <w:r w:rsidRPr="0017373C">
              <w:rPr>
                <w:rFonts w:cs="Calibri"/>
                <w:bCs/>
                <w:i/>
                <w:sz w:val="20"/>
                <w:szCs w:val="20"/>
                <w:lang w:eastAsia="ar-SA"/>
              </w:rPr>
              <w:t xml:space="preserve"> </w:t>
            </w:r>
            <w:r w:rsidRPr="0017373C">
              <w:rPr>
                <w:rFonts w:cs="Calibri"/>
                <w:i/>
                <w:sz w:val="20"/>
                <w:szCs w:val="20"/>
                <w:lang w:eastAsia="ar-SA"/>
              </w:rPr>
              <w:t>Liczba osób objętych działaniami szkoleniowymi w zakresie korzystania z Internetu (w tym e-usług)</w:t>
            </w:r>
            <w:r w:rsidRPr="0017373C">
              <w:rPr>
                <w:rFonts w:cs="Calibri"/>
                <w:bCs/>
                <w:i/>
                <w:sz w:val="20"/>
                <w:szCs w:val="20"/>
                <w:lang w:eastAsia="ar-SA"/>
              </w:rPr>
              <w:t xml:space="preserve"> </w:t>
            </w:r>
            <w:r w:rsidRPr="0017373C">
              <w:rPr>
                <w:rFonts w:cs="Calibri"/>
                <w:bCs/>
                <w:sz w:val="20"/>
                <w:szCs w:val="20"/>
                <w:lang w:eastAsia="ar-SA"/>
              </w:rPr>
              <w:t xml:space="preserve">jest jednym z podstawowych wskaźników produktu dla osi priorytetowej III w Programie Operacyjnym Polska Cyfrowa. </w:t>
            </w:r>
          </w:p>
          <w:p w:rsidR="00560461" w:rsidRPr="0017373C" w:rsidRDefault="00560461" w:rsidP="00004677">
            <w:pPr>
              <w:suppressAutoHyphens/>
              <w:spacing w:before="120" w:after="120" w:line="240" w:lineRule="auto"/>
              <w:jc w:val="both"/>
              <w:rPr>
                <w:rFonts w:cs="Calibri"/>
                <w:spacing w:val="-2"/>
                <w:sz w:val="20"/>
                <w:szCs w:val="20"/>
                <w:lang w:eastAsia="ar-SA"/>
              </w:rPr>
            </w:pPr>
            <w:r w:rsidRPr="0017373C">
              <w:rPr>
                <w:rFonts w:cs="Calibri"/>
                <w:spacing w:val="-2"/>
                <w:sz w:val="20"/>
                <w:szCs w:val="20"/>
                <w:lang w:eastAsia="ar-SA"/>
              </w:rPr>
              <w:t>Wskaźnik ten będzie realizowany w ramach POPC w osi priorytetowej III w działani</w:t>
            </w:r>
            <w:r>
              <w:rPr>
                <w:rFonts w:cs="Calibri"/>
                <w:spacing w:val="-2"/>
                <w:sz w:val="20"/>
                <w:szCs w:val="20"/>
                <w:lang w:eastAsia="ar-SA"/>
              </w:rPr>
              <w:t>ach</w:t>
            </w:r>
            <w:r w:rsidRPr="0017373C">
              <w:rPr>
                <w:rFonts w:cs="Calibri"/>
                <w:spacing w:val="-2"/>
                <w:sz w:val="20"/>
                <w:szCs w:val="20"/>
                <w:lang w:eastAsia="ar-SA"/>
              </w:rPr>
              <w:t xml:space="preserve"> 3.1 </w:t>
            </w:r>
            <w:r>
              <w:rPr>
                <w:rFonts w:cs="Calibri"/>
                <w:spacing w:val="-2"/>
                <w:sz w:val="20"/>
                <w:szCs w:val="20"/>
                <w:lang w:eastAsia="ar-SA"/>
              </w:rPr>
              <w:t xml:space="preserve">oraz 3.2 </w:t>
            </w:r>
            <w:r w:rsidRPr="0017373C">
              <w:rPr>
                <w:rFonts w:cs="Calibri"/>
                <w:spacing w:val="-2"/>
                <w:sz w:val="20"/>
                <w:szCs w:val="20"/>
                <w:lang w:eastAsia="ar-SA"/>
              </w:rPr>
              <w:t xml:space="preserve">POPC. </w:t>
            </w:r>
          </w:p>
          <w:p w:rsidR="00560461" w:rsidRDefault="00560461" w:rsidP="00004677">
            <w:pPr>
              <w:suppressAutoHyphens/>
              <w:spacing w:before="120" w:after="120" w:line="240" w:lineRule="auto"/>
              <w:jc w:val="both"/>
              <w:rPr>
                <w:rFonts w:cs="Calibri"/>
                <w:sz w:val="20"/>
                <w:szCs w:val="20"/>
                <w:lang w:eastAsia="ar-SA"/>
              </w:rPr>
            </w:pPr>
            <w:r w:rsidRPr="0017373C">
              <w:rPr>
                <w:rFonts w:cs="Calibri"/>
                <w:sz w:val="20"/>
                <w:szCs w:val="20"/>
                <w:lang w:eastAsia="ar-SA"/>
              </w:rPr>
              <w:t xml:space="preserve">Zakładając długi okres naboru i realizacji projektu (ok. 4 lat) oraz </w:t>
            </w:r>
            <w:r w:rsidRPr="00F72F94">
              <w:rPr>
                <w:rFonts w:cs="Calibri"/>
                <w:sz w:val="20"/>
                <w:szCs w:val="20"/>
                <w:lang w:eastAsia="ar-SA"/>
              </w:rPr>
              <w:t xml:space="preserve">jedynie </w:t>
            </w:r>
            <w:r w:rsidRPr="005E7C7E">
              <w:rPr>
                <w:rFonts w:cs="Calibri"/>
                <w:sz w:val="20"/>
                <w:szCs w:val="20"/>
                <w:lang w:eastAsia="ar-SA"/>
              </w:rPr>
              <w:t xml:space="preserve">kilka </w:t>
            </w:r>
            <w:r w:rsidRPr="0070771A">
              <w:rPr>
                <w:rFonts w:cs="Calibri"/>
                <w:sz w:val="20"/>
                <w:szCs w:val="20"/>
                <w:lang w:eastAsia="ar-SA"/>
              </w:rPr>
              <w:t>naborów</w:t>
            </w:r>
            <w:r w:rsidRPr="00A632F3">
              <w:rPr>
                <w:rFonts w:cs="Calibri"/>
                <w:sz w:val="20"/>
                <w:szCs w:val="20"/>
                <w:lang w:eastAsia="ar-SA"/>
              </w:rPr>
              <w:t xml:space="preserve"> w całym okresie</w:t>
            </w:r>
            <w:r w:rsidRPr="0017373C">
              <w:rPr>
                <w:rFonts w:cs="Calibri"/>
                <w:sz w:val="20"/>
                <w:szCs w:val="20"/>
                <w:lang w:eastAsia="ar-SA"/>
              </w:rPr>
              <w:t xml:space="preserve"> programowania, planuje się przeznaczyć </w:t>
            </w:r>
            <w:r>
              <w:rPr>
                <w:rFonts w:cs="Calibri"/>
                <w:sz w:val="20"/>
                <w:szCs w:val="20"/>
                <w:lang w:eastAsia="ar-SA"/>
              </w:rPr>
              <w:t>co najmniej 40</w:t>
            </w:r>
            <w:r w:rsidRPr="0017373C">
              <w:rPr>
                <w:rFonts w:cs="Calibri"/>
                <w:sz w:val="20"/>
                <w:szCs w:val="20"/>
                <w:lang w:eastAsia="ar-SA"/>
              </w:rPr>
              <w:t>% alokacji na konkurs</w:t>
            </w:r>
            <w:r>
              <w:rPr>
                <w:rFonts w:cs="Calibri"/>
                <w:sz w:val="20"/>
                <w:szCs w:val="20"/>
                <w:lang w:eastAsia="ar-SA"/>
              </w:rPr>
              <w:t>y</w:t>
            </w:r>
            <w:r w:rsidRPr="0017373C">
              <w:rPr>
                <w:rFonts w:cs="Calibri"/>
                <w:sz w:val="20"/>
                <w:szCs w:val="20"/>
                <w:lang w:eastAsia="ar-SA"/>
              </w:rPr>
              <w:t>, któr</w:t>
            </w:r>
            <w:r>
              <w:rPr>
                <w:rFonts w:cs="Calibri"/>
                <w:sz w:val="20"/>
                <w:szCs w:val="20"/>
                <w:lang w:eastAsia="ar-SA"/>
              </w:rPr>
              <w:t>e</w:t>
            </w:r>
            <w:r w:rsidRPr="0017373C">
              <w:rPr>
                <w:rFonts w:cs="Calibri"/>
                <w:sz w:val="20"/>
                <w:szCs w:val="20"/>
                <w:lang w:eastAsia="ar-SA"/>
              </w:rPr>
              <w:t xml:space="preserve"> </w:t>
            </w:r>
            <w:r>
              <w:rPr>
                <w:rFonts w:cs="Calibri"/>
                <w:sz w:val="20"/>
                <w:szCs w:val="20"/>
                <w:lang w:eastAsia="ar-SA"/>
              </w:rPr>
              <w:t>rozpoczęły się lub rozpoczną</w:t>
            </w:r>
            <w:r w:rsidRPr="0017373C">
              <w:rPr>
                <w:rFonts w:cs="Calibri"/>
                <w:sz w:val="20"/>
                <w:szCs w:val="20"/>
                <w:lang w:eastAsia="ar-SA"/>
              </w:rPr>
              <w:t xml:space="preserve"> się w 2015</w:t>
            </w:r>
            <w:r>
              <w:rPr>
                <w:rFonts w:cs="Calibri"/>
                <w:sz w:val="20"/>
                <w:szCs w:val="20"/>
                <w:lang w:eastAsia="ar-SA"/>
              </w:rPr>
              <w:t xml:space="preserve"> lub 2016</w:t>
            </w:r>
            <w:r w:rsidRPr="0017373C">
              <w:rPr>
                <w:rFonts w:cs="Calibri"/>
                <w:sz w:val="20"/>
                <w:szCs w:val="20"/>
                <w:lang w:eastAsia="ar-SA"/>
              </w:rPr>
              <w:t xml:space="preserve"> r. Przeznaczenie </w:t>
            </w:r>
            <w:r>
              <w:rPr>
                <w:rFonts w:cs="Calibri"/>
                <w:sz w:val="20"/>
                <w:szCs w:val="20"/>
                <w:lang w:eastAsia="ar-SA"/>
              </w:rPr>
              <w:t>pozostałej części alokacji</w:t>
            </w:r>
            <w:r w:rsidRPr="0017373C">
              <w:rPr>
                <w:rFonts w:cs="Calibri"/>
                <w:sz w:val="20"/>
                <w:szCs w:val="20"/>
                <w:lang w:eastAsia="ar-SA"/>
              </w:rPr>
              <w:t xml:space="preserve"> na </w:t>
            </w:r>
            <w:r>
              <w:rPr>
                <w:rFonts w:cs="Calibri"/>
                <w:sz w:val="20"/>
                <w:szCs w:val="20"/>
                <w:lang w:eastAsia="ar-SA"/>
              </w:rPr>
              <w:t>kolejne</w:t>
            </w:r>
            <w:r w:rsidRPr="0017373C">
              <w:rPr>
                <w:rFonts w:cs="Calibri"/>
                <w:sz w:val="20"/>
                <w:szCs w:val="20"/>
                <w:lang w:eastAsia="ar-SA"/>
              </w:rPr>
              <w:t xml:space="preserve"> konkurs</w:t>
            </w:r>
            <w:r>
              <w:rPr>
                <w:rFonts w:cs="Calibri"/>
                <w:sz w:val="20"/>
                <w:szCs w:val="20"/>
                <w:lang w:eastAsia="ar-SA"/>
              </w:rPr>
              <w:t>y</w:t>
            </w:r>
            <w:r w:rsidRPr="0017373C">
              <w:rPr>
                <w:rFonts w:cs="Calibri"/>
                <w:sz w:val="20"/>
                <w:szCs w:val="20"/>
                <w:lang w:eastAsia="ar-SA"/>
              </w:rPr>
              <w:t xml:space="preserve"> oraz rozpoczęcie </w:t>
            </w:r>
            <w:r>
              <w:rPr>
                <w:rFonts w:cs="Calibri"/>
                <w:sz w:val="20"/>
                <w:szCs w:val="20"/>
                <w:lang w:eastAsia="ar-SA"/>
              </w:rPr>
              <w:t>ich</w:t>
            </w:r>
            <w:r w:rsidRPr="0017373C">
              <w:rPr>
                <w:rFonts w:cs="Calibri"/>
                <w:sz w:val="20"/>
                <w:szCs w:val="20"/>
                <w:lang w:eastAsia="ar-SA"/>
              </w:rPr>
              <w:t xml:space="preserve"> dopiero po analizie śródokresowej projektów wyłonionych do dofinansowania (tj. nie wcześniej niż po upływie 3 lat realizacji), jest zasadne ze względu na możliwość ew. skorygowania zakresu interwencji w oparciu o wyniki ww. analizy.</w:t>
            </w:r>
          </w:p>
          <w:p w:rsidR="00560461" w:rsidRDefault="00560461" w:rsidP="00004677">
            <w:pPr>
              <w:suppressAutoHyphens/>
              <w:spacing w:before="120" w:after="120" w:line="240" w:lineRule="auto"/>
              <w:jc w:val="both"/>
              <w:rPr>
                <w:rFonts w:cs="Calibri"/>
                <w:sz w:val="20"/>
                <w:szCs w:val="20"/>
                <w:lang w:eastAsia="ar-SA"/>
              </w:rPr>
            </w:pPr>
            <w:r>
              <w:rPr>
                <w:rFonts w:cs="Calibri"/>
                <w:sz w:val="20"/>
                <w:szCs w:val="20"/>
                <w:lang w:eastAsia="ar-SA"/>
              </w:rPr>
              <w:t xml:space="preserve">Obecnie zakłada się zawarcie umów do 2018 r.: </w:t>
            </w:r>
          </w:p>
          <w:p w:rsidR="00560461" w:rsidRDefault="00560461" w:rsidP="00560461">
            <w:pPr>
              <w:numPr>
                <w:ilvl w:val="0"/>
                <w:numId w:val="26"/>
              </w:numPr>
              <w:suppressAutoHyphens/>
              <w:spacing w:before="120" w:after="120" w:line="240" w:lineRule="auto"/>
              <w:jc w:val="both"/>
              <w:rPr>
                <w:rFonts w:cs="Calibri"/>
                <w:sz w:val="20"/>
                <w:szCs w:val="20"/>
                <w:lang w:eastAsia="ar-SA"/>
              </w:rPr>
            </w:pPr>
            <w:r>
              <w:rPr>
                <w:rFonts w:cs="Calibri"/>
                <w:sz w:val="20"/>
                <w:szCs w:val="20"/>
                <w:lang w:eastAsia="ar-SA"/>
              </w:rPr>
              <w:t>konkursy w działaniu 3.1 POPC,</w:t>
            </w:r>
          </w:p>
          <w:p w:rsidR="00560461" w:rsidRPr="0017373C" w:rsidRDefault="00560461" w:rsidP="00560461">
            <w:pPr>
              <w:numPr>
                <w:ilvl w:val="0"/>
                <w:numId w:val="26"/>
              </w:numPr>
              <w:suppressAutoHyphens/>
              <w:spacing w:before="120" w:after="120" w:line="240" w:lineRule="auto"/>
              <w:jc w:val="both"/>
              <w:rPr>
                <w:rFonts w:cs="Calibri"/>
                <w:sz w:val="20"/>
                <w:szCs w:val="20"/>
                <w:lang w:eastAsia="ar-SA"/>
              </w:rPr>
            </w:pPr>
            <w:r>
              <w:rPr>
                <w:rFonts w:cs="Calibri"/>
                <w:sz w:val="20"/>
                <w:szCs w:val="20"/>
                <w:lang w:eastAsia="ar-SA"/>
              </w:rPr>
              <w:t>konkurs w działaniu 3.2 POPC.</w:t>
            </w:r>
          </w:p>
          <w:p w:rsidR="00560461" w:rsidRPr="0017373C" w:rsidRDefault="00560461" w:rsidP="00004677">
            <w:pPr>
              <w:suppressAutoHyphens/>
              <w:autoSpaceDE w:val="0"/>
              <w:snapToGrid w:val="0"/>
              <w:spacing w:before="120" w:after="120" w:line="240" w:lineRule="auto"/>
              <w:jc w:val="both"/>
              <w:rPr>
                <w:rFonts w:cs="Calibri"/>
                <w:sz w:val="20"/>
                <w:szCs w:val="20"/>
                <w:lang w:eastAsia="ar-SA"/>
              </w:rPr>
            </w:pPr>
            <w:r w:rsidRPr="0017373C">
              <w:rPr>
                <w:rFonts w:cs="Calibri"/>
                <w:color w:val="000000"/>
                <w:sz w:val="20"/>
                <w:szCs w:val="20"/>
                <w:lang w:eastAsia="pl-PL"/>
              </w:rPr>
              <w:t xml:space="preserve">Mając na uwadze powyższe, korzystając z metodologii dotyczącej wskaźnika produktu wyliczono KEW. Dla wskaźnika </w:t>
            </w:r>
            <w:r w:rsidRPr="0017373C">
              <w:rPr>
                <w:rFonts w:cs="Calibri"/>
                <w:i/>
                <w:iCs/>
                <w:color w:val="000000"/>
                <w:sz w:val="20"/>
                <w:szCs w:val="20"/>
                <w:lang w:eastAsia="pl-PL"/>
              </w:rPr>
              <w:t>Liczba osób objętych działaniami szkoleniowymi w zakresie korzystania z Internetu (w tym e-usług) na podstawie wartości docelowej z zawartych umów o dofinansowanie projektów</w:t>
            </w:r>
            <w:r w:rsidRPr="0017373C">
              <w:rPr>
                <w:rFonts w:cs="Calibri"/>
                <w:color w:val="000000"/>
                <w:sz w:val="20"/>
                <w:szCs w:val="20"/>
                <w:lang w:eastAsia="pl-PL"/>
              </w:rPr>
              <w:t xml:space="preserve">, źródłem danych będą umowy o dofinansowanie podpisane do końca 2018 r. Wartości obliczono przyjmując przedstawione powyżej założenia przeznaczenia i zakontraktowania </w:t>
            </w:r>
            <w:r>
              <w:rPr>
                <w:rFonts w:cs="Calibri"/>
                <w:color w:val="000000"/>
                <w:sz w:val="20"/>
                <w:szCs w:val="20"/>
                <w:lang w:eastAsia="pl-PL"/>
              </w:rPr>
              <w:t>łącznie ponad</w:t>
            </w:r>
            <w:r w:rsidRPr="0017373C">
              <w:rPr>
                <w:rFonts w:cs="Calibri"/>
                <w:color w:val="000000"/>
                <w:sz w:val="20"/>
                <w:szCs w:val="20"/>
                <w:lang w:eastAsia="pl-PL"/>
              </w:rPr>
              <w:t xml:space="preserve">. </w:t>
            </w:r>
            <w:r>
              <w:rPr>
                <w:rFonts w:cs="Calibri"/>
                <w:color w:val="000000"/>
                <w:sz w:val="20"/>
                <w:szCs w:val="20"/>
                <w:lang w:eastAsia="pl-PL"/>
              </w:rPr>
              <w:t>40</w:t>
            </w:r>
            <w:r w:rsidRPr="0017373C">
              <w:rPr>
                <w:rFonts w:cs="Calibri"/>
                <w:color w:val="000000"/>
                <w:sz w:val="20"/>
                <w:szCs w:val="20"/>
                <w:lang w:eastAsia="pl-PL"/>
              </w:rPr>
              <w:t>% alokacji działa</w:t>
            </w:r>
            <w:r>
              <w:rPr>
                <w:rFonts w:cs="Calibri"/>
                <w:color w:val="000000"/>
                <w:sz w:val="20"/>
                <w:szCs w:val="20"/>
                <w:lang w:eastAsia="pl-PL"/>
              </w:rPr>
              <w:t>ń</w:t>
            </w:r>
            <w:r w:rsidRPr="0017373C">
              <w:rPr>
                <w:rFonts w:cs="Calibri"/>
                <w:color w:val="000000"/>
                <w:sz w:val="20"/>
                <w:szCs w:val="20"/>
                <w:lang w:eastAsia="pl-PL"/>
              </w:rPr>
              <w:t xml:space="preserve"> 3.1 </w:t>
            </w:r>
            <w:r>
              <w:rPr>
                <w:rFonts w:cs="Calibri"/>
                <w:color w:val="000000"/>
                <w:sz w:val="20"/>
                <w:szCs w:val="20"/>
                <w:lang w:eastAsia="pl-PL"/>
              </w:rPr>
              <w:t xml:space="preserve">oraz 3.2 </w:t>
            </w:r>
            <w:r w:rsidRPr="0017373C">
              <w:rPr>
                <w:rFonts w:cs="Calibri"/>
                <w:color w:val="000000"/>
                <w:sz w:val="20"/>
                <w:szCs w:val="20"/>
                <w:lang w:eastAsia="pl-PL"/>
              </w:rPr>
              <w:t>POPC w ramach konkurs</w:t>
            </w:r>
            <w:r>
              <w:rPr>
                <w:rFonts w:cs="Calibri"/>
                <w:color w:val="000000"/>
                <w:sz w:val="20"/>
                <w:szCs w:val="20"/>
                <w:lang w:eastAsia="pl-PL"/>
              </w:rPr>
              <w:t>ów</w:t>
            </w:r>
            <w:r w:rsidRPr="0017373C">
              <w:rPr>
                <w:rFonts w:cs="Calibri"/>
                <w:color w:val="000000"/>
                <w:sz w:val="20"/>
                <w:szCs w:val="20"/>
                <w:lang w:eastAsia="pl-PL"/>
              </w:rPr>
              <w:t xml:space="preserve"> rozpisan</w:t>
            </w:r>
            <w:r>
              <w:rPr>
                <w:rFonts w:cs="Calibri"/>
                <w:color w:val="000000"/>
                <w:sz w:val="20"/>
                <w:szCs w:val="20"/>
                <w:lang w:eastAsia="pl-PL"/>
              </w:rPr>
              <w:t>ych</w:t>
            </w:r>
            <w:r w:rsidRPr="0017373C">
              <w:rPr>
                <w:rFonts w:cs="Calibri"/>
                <w:color w:val="000000"/>
                <w:sz w:val="20"/>
                <w:szCs w:val="20"/>
                <w:lang w:eastAsia="pl-PL"/>
              </w:rPr>
              <w:t xml:space="preserve"> w 2015 </w:t>
            </w:r>
            <w:r>
              <w:rPr>
                <w:rFonts w:cs="Calibri"/>
                <w:color w:val="000000"/>
                <w:sz w:val="20"/>
                <w:szCs w:val="20"/>
                <w:lang w:eastAsia="pl-PL"/>
              </w:rPr>
              <w:t xml:space="preserve">i 2016 </w:t>
            </w:r>
            <w:r w:rsidRPr="0017373C">
              <w:rPr>
                <w:rFonts w:cs="Calibri"/>
                <w:color w:val="000000"/>
                <w:sz w:val="20"/>
                <w:szCs w:val="20"/>
                <w:lang w:eastAsia="pl-PL"/>
              </w:rPr>
              <w:t>r. W efekcie otrzymano następujące wartości w podziale na regiony słabiej rozwinięte oraz region lepiej rozwinięty:</w:t>
            </w:r>
          </w:p>
          <w:p w:rsidR="00560461" w:rsidRPr="0017373C" w:rsidRDefault="00560461" w:rsidP="00004677">
            <w:pPr>
              <w:keepNext/>
              <w:spacing w:after="0" w:line="240" w:lineRule="auto"/>
              <w:rPr>
                <w:b/>
                <w:bCs/>
                <w:color w:val="1F497D"/>
                <w:sz w:val="20"/>
                <w:szCs w:val="20"/>
              </w:rPr>
            </w:pPr>
            <w:bookmarkStart w:id="23" w:name="_Toc401826770"/>
            <w:r w:rsidRPr="0017373C">
              <w:rPr>
                <w:b/>
                <w:bCs/>
                <w:color w:val="1F497D"/>
                <w:sz w:val="20"/>
                <w:szCs w:val="20"/>
              </w:rPr>
              <w:t xml:space="preserve">Tabela </w:t>
            </w:r>
            <w:r w:rsidR="00544B8B">
              <w:rPr>
                <w:b/>
                <w:bCs/>
                <w:color w:val="1F497D"/>
                <w:sz w:val="20"/>
                <w:szCs w:val="20"/>
              </w:rPr>
              <w:t>16</w:t>
            </w:r>
            <w:r w:rsidRPr="0017373C">
              <w:rPr>
                <w:b/>
                <w:bCs/>
                <w:color w:val="1F497D"/>
                <w:sz w:val="20"/>
                <w:szCs w:val="20"/>
              </w:rPr>
              <w:t xml:space="preserve"> - Wartości wskaźnika w działaniu 3.1 </w:t>
            </w:r>
            <w:r>
              <w:rPr>
                <w:b/>
                <w:bCs/>
                <w:color w:val="1F497D"/>
                <w:sz w:val="20"/>
                <w:szCs w:val="20"/>
              </w:rPr>
              <w:t xml:space="preserve">i 3.2 POPC </w:t>
            </w:r>
            <w:r w:rsidRPr="0017373C">
              <w:rPr>
                <w:b/>
                <w:bCs/>
                <w:color w:val="1F497D"/>
                <w:sz w:val="20"/>
                <w:szCs w:val="20"/>
              </w:rPr>
              <w:t>w 2018 r. na podstawie umów o dofinansowanie</w:t>
            </w:r>
            <w:bookmarkEnd w:id="23"/>
          </w:p>
          <w:tbl>
            <w:tblPr>
              <w:tblW w:w="6968" w:type="dxa"/>
              <w:tblCellMar>
                <w:left w:w="70" w:type="dxa"/>
                <w:right w:w="70" w:type="dxa"/>
              </w:tblCellMar>
              <w:tblLook w:val="04A0" w:firstRow="1" w:lastRow="0" w:firstColumn="1" w:lastColumn="0" w:noHBand="0" w:noVBand="1"/>
            </w:tblPr>
            <w:tblGrid>
              <w:gridCol w:w="5174"/>
              <w:gridCol w:w="1794"/>
            </w:tblGrid>
            <w:tr w:rsidR="00560461" w:rsidRPr="0007728B" w:rsidTr="0000467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2DCDB"/>
                  <w:vAlign w:val="center"/>
                  <w:hideMark/>
                </w:tcPr>
                <w:p w:rsidR="00560461" w:rsidRPr="00A2554F" w:rsidRDefault="00560461" w:rsidP="00004677">
                  <w:pPr>
                    <w:spacing w:after="0" w:line="240" w:lineRule="auto"/>
                    <w:jc w:val="center"/>
                    <w:rPr>
                      <w:rFonts w:eastAsia="Times New Roman" w:cs="Calibri"/>
                      <w:b/>
                      <w:bCs/>
                      <w:color w:val="000000"/>
                      <w:sz w:val="18"/>
                      <w:szCs w:val="18"/>
                      <w:lang w:eastAsia="pl-PL"/>
                    </w:rPr>
                  </w:pPr>
                  <w:r w:rsidRPr="00A2554F">
                    <w:rPr>
                      <w:rFonts w:eastAsia="Times New Roman" w:cs="Calibri"/>
                      <w:b/>
                      <w:bCs/>
                      <w:color w:val="000000"/>
                      <w:sz w:val="18"/>
                      <w:szCs w:val="18"/>
                      <w:lang w:eastAsia="pl-PL"/>
                    </w:rPr>
                    <w:t>Kategoria regionu</w:t>
                  </w:r>
                </w:p>
              </w:tc>
              <w:tc>
                <w:tcPr>
                  <w:tcW w:w="0" w:type="auto"/>
                  <w:tcBorders>
                    <w:top w:val="single" w:sz="4" w:space="0" w:color="auto"/>
                    <w:left w:val="nil"/>
                    <w:bottom w:val="single" w:sz="4" w:space="0" w:color="auto"/>
                    <w:right w:val="single" w:sz="4" w:space="0" w:color="auto"/>
                  </w:tcBorders>
                  <w:shd w:val="clear" w:color="000000" w:fill="F2DCDB"/>
                  <w:vAlign w:val="center"/>
                  <w:hideMark/>
                </w:tcPr>
                <w:p w:rsidR="00560461" w:rsidRPr="00A2554F" w:rsidRDefault="00560461" w:rsidP="00004677">
                  <w:pPr>
                    <w:spacing w:after="0" w:line="240" w:lineRule="auto"/>
                    <w:jc w:val="center"/>
                    <w:rPr>
                      <w:rFonts w:eastAsia="Times New Roman" w:cs="Calibri"/>
                      <w:b/>
                      <w:bCs/>
                      <w:color w:val="000000"/>
                      <w:sz w:val="18"/>
                      <w:szCs w:val="18"/>
                      <w:lang w:eastAsia="pl-PL"/>
                    </w:rPr>
                  </w:pPr>
                  <w:r w:rsidRPr="00A2554F">
                    <w:rPr>
                      <w:rFonts w:eastAsia="Times New Roman" w:cs="Calibri"/>
                      <w:b/>
                      <w:bCs/>
                      <w:color w:val="000000"/>
                      <w:sz w:val="18"/>
                      <w:szCs w:val="18"/>
                      <w:lang w:eastAsia="pl-PL"/>
                    </w:rPr>
                    <w:t>łącznie</w:t>
                  </w:r>
                </w:p>
              </w:tc>
            </w:tr>
            <w:tr w:rsidR="00560461" w:rsidRPr="0007728B" w:rsidTr="00004677">
              <w:trPr>
                <w:trHeight w:val="1035"/>
              </w:trPr>
              <w:tc>
                <w:tcPr>
                  <w:tcW w:w="0" w:type="auto"/>
                  <w:tcBorders>
                    <w:top w:val="nil"/>
                    <w:left w:val="single" w:sz="4" w:space="0" w:color="auto"/>
                    <w:bottom w:val="nil"/>
                    <w:right w:val="single" w:sz="4" w:space="0" w:color="auto"/>
                  </w:tcBorders>
                  <w:shd w:val="clear" w:color="000000" w:fill="DA9694"/>
                  <w:vAlign w:val="center"/>
                  <w:hideMark/>
                </w:tcPr>
                <w:p w:rsidR="00560461" w:rsidRPr="00A2554F" w:rsidRDefault="00560461" w:rsidP="00004677">
                  <w:pPr>
                    <w:spacing w:after="0" w:line="240" w:lineRule="auto"/>
                    <w:rPr>
                      <w:rFonts w:eastAsia="Times New Roman" w:cs="Calibri"/>
                      <w:b/>
                      <w:bCs/>
                      <w:color w:val="000000"/>
                      <w:sz w:val="18"/>
                      <w:szCs w:val="18"/>
                      <w:lang w:eastAsia="pl-PL"/>
                    </w:rPr>
                  </w:pPr>
                  <w:r w:rsidRPr="00A2554F">
                    <w:rPr>
                      <w:rFonts w:eastAsia="Times New Roman" w:cs="Calibri"/>
                      <w:b/>
                      <w:bCs/>
                      <w:color w:val="000000"/>
                      <w:sz w:val="18"/>
                      <w:szCs w:val="18"/>
                      <w:lang w:eastAsia="pl-PL"/>
                    </w:rPr>
                    <w:t>Regiony słabiej rozwinięte</w:t>
                  </w:r>
                </w:p>
              </w:tc>
              <w:tc>
                <w:tcPr>
                  <w:tcW w:w="0" w:type="auto"/>
                  <w:tcBorders>
                    <w:top w:val="nil"/>
                    <w:left w:val="nil"/>
                    <w:bottom w:val="single" w:sz="8" w:space="0" w:color="auto"/>
                    <w:right w:val="single" w:sz="4" w:space="0" w:color="auto"/>
                  </w:tcBorders>
                  <w:shd w:val="clear" w:color="auto" w:fill="auto"/>
                  <w:noWrap/>
                  <w:vAlign w:val="bottom"/>
                  <w:hideMark/>
                </w:tcPr>
                <w:p w:rsidR="00560461" w:rsidRPr="00A2554F" w:rsidRDefault="00560461" w:rsidP="00004677">
                  <w:pPr>
                    <w:spacing w:after="0" w:line="240" w:lineRule="auto"/>
                    <w:jc w:val="right"/>
                    <w:rPr>
                      <w:rFonts w:eastAsia="Times New Roman" w:cs="Calibri"/>
                      <w:color w:val="000000"/>
                      <w:sz w:val="18"/>
                      <w:szCs w:val="18"/>
                      <w:lang w:eastAsia="pl-PL"/>
                    </w:rPr>
                  </w:pPr>
                  <w:r w:rsidRPr="00A2554F">
                    <w:rPr>
                      <w:rFonts w:eastAsia="Times New Roman" w:cs="Calibri"/>
                      <w:color w:val="000000"/>
                      <w:sz w:val="18"/>
                      <w:szCs w:val="18"/>
                      <w:lang w:eastAsia="pl-PL"/>
                    </w:rPr>
                    <w:t>162 937</w:t>
                  </w:r>
                </w:p>
              </w:tc>
            </w:tr>
            <w:tr w:rsidR="00560461" w:rsidRPr="0007728B" w:rsidTr="00004677">
              <w:trPr>
                <w:trHeight w:val="1035"/>
              </w:trPr>
              <w:tc>
                <w:tcPr>
                  <w:tcW w:w="0" w:type="auto"/>
                  <w:tcBorders>
                    <w:top w:val="single" w:sz="8" w:space="0" w:color="auto"/>
                    <w:left w:val="single" w:sz="4" w:space="0" w:color="auto"/>
                    <w:bottom w:val="single" w:sz="4" w:space="0" w:color="auto"/>
                    <w:right w:val="single" w:sz="4" w:space="0" w:color="auto"/>
                  </w:tcBorders>
                  <w:shd w:val="clear" w:color="000000" w:fill="C4BD97"/>
                  <w:vAlign w:val="center"/>
                  <w:hideMark/>
                </w:tcPr>
                <w:p w:rsidR="00560461" w:rsidRPr="00A2554F" w:rsidRDefault="00560461" w:rsidP="00004677">
                  <w:pPr>
                    <w:spacing w:after="0" w:line="240" w:lineRule="auto"/>
                    <w:rPr>
                      <w:rFonts w:eastAsia="Times New Roman" w:cs="Calibri"/>
                      <w:b/>
                      <w:bCs/>
                      <w:color w:val="000000"/>
                      <w:sz w:val="18"/>
                      <w:szCs w:val="18"/>
                      <w:lang w:eastAsia="pl-PL"/>
                    </w:rPr>
                  </w:pPr>
                  <w:r w:rsidRPr="00A2554F">
                    <w:rPr>
                      <w:rFonts w:eastAsia="Times New Roman" w:cs="Calibri"/>
                      <w:b/>
                      <w:bCs/>
                      <w:color w:val="000000"/>
                      <w:sz w:val="18"/>
                      <w:szCs w:val="18"/>
                      <w:lang w:eastAsia="pl-PL"/>
                    </w:rPr>
                    <w:t>Region lepiej rozwinięty</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560461" w:rsidRPr="00A2554F" w:rsidRDefault="00560461" w:rsidP="00004677">
                  <w:pPr>
                    <w:spacing w:after="0" w:line="240" w:lineRule="auto"/>
                    <w:jc w:val="right"/>
                    <w:rPr>
                      <w:rFonts w:eastAsia="Times New Roman" w:cs="Calibri"/>
                      <w:color w:val="000000"/>
                      <w:sz w:val="18"/>
                      <w:szCs w:val="18"/>
                      <w:lang w:eastAsia="pl-PL"/>
                    </w:rPr>
                  </w:pPr>
                  <w:r w:rsidRPr="00A2554F">
                    <w:rPr>
                      <w:rFonts w:eastAsia="Times New Roman" w:cs="Calibri"/>
                      <w:color w:val="000000"/>
                      <w:sz w:val="18"/>
                      <w:szCs w:val="18"/>
                      <w:lang w:eastAsia="pl-PL"/>
                    </w:rPr>
                    <w:t>11 942</w:t>
                  </w:r>
                </w:p>
              </w:tc>
            </w:tr>
          </w:tbl>
          <w:p w:rsidR="00560461" w:rsidRPr="0017373C" w:rsidRDefault="00560461" w:rsidP="00004677">
            <w:pPr>
              <w:suppressAutoHyphens/>
              <w:autoSpaceDE w:val="0"/>
              <w:snapToGrid w:val="0"/>
              <w:spacing w:before="120" w:after="120" w:line="240" w:lineRule="auto"/>
              <w:jc w:val="both"/>
              <w:rPr>
                <w:rFonts w:cs="Calibri"/>
                <w:sz w:val="20"/>
                <w:szCs w:val="20"/>
                <w:lang w:eastAsia="ar-SA"/>
              </w:rPr>
            </w:pPr>
          </w:p>
          <w:p w:rsidR="00560461" w:rsidRPr="0017373C" w:rsidRDefault="00560461" w:rsidP="00004677">
            <w:pPr>
              <w:suppressAutoHyphens/>
              <w:spacing w:before="120" w:after="120" w:line="240" w:lineRule="auto"/>
              <w:jc w:val="both"/>
              <w:rPr>
                <w:rFonts w:cs="Calibri"/>
                <w:lang w:eastAsia="ar-SA"/>
              </w:rPr>
            </w:pPr>
          </w:p>
        </w:tc>
      </w:tr>
    </w:tbl>
    <w:p w:rsidR="00560461" w:rsidRPr="0017373C" w:rsidRDefault="00560461" w:rsidP="00560461">
      <w:pPr>
        <w:numPr>
          <w:ilvl w:val="0"/>
          <w:numId w:val="21"/>
        </w:numPr>
        <w:suppressAutoHyphens/>
        <w:spacing w:before="120" w:after="120" w:line="240" w:lineRule="auto"/>
        <w:jc w:val="both"/>
        <w:rPr>
          <w:rFonts w:cs="Calibri"/>
          <w:sz w:val="20"/>
          <w:szCs w:val="20"/>
          <w:lang w:eastAsia="ar-SA"/>
        </w:rPr>
      </w:pPr>
      <w:r w:rsidRPr="0017373C">
        <w:rPr>
          <w:rFonts w:cs="Calibri"/>
          <w:sz w:val="20"/>
          <w:szCs w:val="20"/>
          <w:lang w:eastAsia="ar-SA"/>
        </w:rPr>
        <w:t>wyjaśnienie, w jaki sposób zapewniono praktyczne przełożenie ram wykonania na mechanizmy wdrożeniowe danej osi:</w:t>
      </w:r>
    </w:p>
    <w:tbl>
      <w:tblPr>
        <w:tblW w:w="0" w:type="auto"/>
        <w:tblInd w:w="-5" w:type="dxa"/>
        <w:tblLayout w:type="fixed"/>
        <w:tblLook w:val="0000" w:firstRow="0" w:lastRow="0" w:firstColumn="0" w:lastColumn="0" w:noHBand="0" w:noVBand="0"/>
      </w:tblPr>
      <w:tblGrid>
        <w:gridCol w:w="9222"/>
      </w:tblGrid>
      <w:tr w:rsidR="00560461" w:rsidRPr="0017373C" w:rsidTr="0000467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004677">
            <w:pPr>
              <w:suppressAutoHyphens/>
              <w:autoSpaceDE w:val="0"/>
              <w:snapToGrid w:val="0"/>
              <w:spacing w:after="0" w:line="240" w:lineRule="auto"/>
              <w:jc w:val="both"/>
              <w:rPr>
                <w:rFonts w:cs="Calibri"/>
                <w:sz w:val="20"/>
                <w:szCs w:val="20"/>
                <w:lang w:eastAsia="ar-SA"/>
              </w:rPr>
            </w:pPr>
            <w:r w:rsidRPr="0017373C">
              <w:rPr>
                <w:rFonts w:cs="Calibri"/>
                <w:bCs/>
                <w:sz w:val="20"/>
                <w:szCs w:val="20"/>
                <w:lang w:eastAsia="ar-SA"/>
              </w:rPr>
              <w:t xml:space="preserve">Kryteria wyboru projektów do dofinansowania w ramach działania 3.1 w osi priorytetowej III POPC, premiowały będą w pierwszej kolejności projekty, których realizacja w największym stopniu przyczyni się do realizacji założonych wartości docelowych. </w:t>
            </w:r>
          </w:p>
        </w:tc>
      </w:tr>
    </w:tbl>
    <w:p w:rsidR="00560461" w:rsidRPr="0017373C" w:rsidRDefault="00560461" w:rsidP="00560461">
      <w:pPr>
        <w:suppressAutoHyphens/>
        <w:spacing w:before="120" w:after="120" w:line="240" w:lineRule="auto"/>
        <w:ind w:left="360"/>
        <w:jc w:val="both"/>
        <w:rPr>
          <w:rFonts w:cs="Calibri"/>
          <w:lang w:eastAsia="ar-SA"/>
        </w:rPr>
      </w:pPr>
    </w:p>
    <w:p w:rsidR="00560461" w:rsidRPr="0017373C" w:rsidRDefault="00560461" w:rsidP="00560461">
      <w:pPr>
        <w:numPr>
          <w:ilvl w:val="0"/>
          <w:numId w:val="21"/>
        </w:numPr>
        <w:suppressAutoHyphens/>
        <w:spacing w:before="120" w:after="120" w:line="240" w:lineRule="auto"/>
        <w:jc w:val="both"/>
        <w:rPr>
          <w:rFonts w:cs="Calibri"/>
          <w:sz w:val="20"/>
          <w:szCs w:val="20"/>
          <w:lang w:eastAsia="ar-SA"/>
        </w:rPr>
      </w:pPr>
      <w:r w:rsidRPr="0017373C">
        <w:rPr>
          <w:rFonts w:cs="Calibri"/>
          <w:sz w:val="20"/>
          <w:szCs w:val="20"/>
          <w:lang w:eastAsia="ar-SA"/>
        </w:rPr>
        <w:t>na podstawie doświadczeń z poprzednich okresów programowania należy wskazać, jakie czynniki mogą mieć wpływ na metodykę szacowanie wartości pośrednich i końcowych. Zgodnie z art. 5 ust 6 rozporządzenia wykonawczego KE nr 215/2014, jeżeli w trakcie wdrażania te czynniki ujawnią się i ich oddziaływanie będzie na tyle istotne, że konieczne stanie się odpowiednie dostosowanie metod szacowania oraz wartości celów pośrednich i końcowych, wówczas instytucja zarządzająca może uznać to za należycie uzasadniony przypadek w rozumieniu pkt 5 załącznika II do rozporządzenia (UE) nr 1303/2013 i przedstawić wniosek o zmianę programu operacyjnego zgodnie ze zwykłą procedurą zmiany programu operacyjnego:</w:t>
      </w:r>
    </w:p>
    <w:tbl>
      <w:tblPr>
        <w:tblW w:w="0" w:type="auto"/>
        <w:tblInd w:w="-5" w:type="dxa"/>
        <w:tblLayout w:type="fixed"/>
        <w:tblLook w:val="0000" w:firstRow="0" w:lastRow="0" w:firstColumn="0" w:lastColumn="0" w:noHBand="0" w:noVBand="0"/>
      </w:tblPr>
      <w:tblGrid>
        <w:gridCol w:w="9222"/>
      </w:tblGrid>
      <w:tr w:rsidR="00560461" w:rsidRPr="0017373C" w:rsidTr="0000467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60461" w:rsidRPr="0017373C" w:rsidRDefault="00560461" w:rsidP="00560461">
            <w:pPr>
              <w:numPr>
                <w:ilvl w:val="0"/>
                <w:numId w:val="22"/>
              </w:numPr>
              <w:suppressAutoHyphens/>
              <w:autoSpaceDE w:val="0"/>
              <w:snapToGrid w:val="0"/>
              <w:spacing w:before="120" w:after="120" w:line="240" w:lineRule="auto"/>
              <w:ind w:hanging="357"/>
              <w:jc w:val="both"/>
              <w:rPr>
                <w:rFonts w:cs="Calibri"/>
                <w:bCs/>
                <w:sz w:val="20"/>
                <w:szCs w:val="20"/>
                <w:lang w:eastAsia="ar-SA"/>
              </w:rPr>
            </w:pPr>
            <w:r w:rsidRPr="0017373C">
              <w:rPr>
                <w:rFonts w:cs="Calibri"/>
                <w:bCs/>
                <w:sz w:val="20"/>
                <w:szCs w:val="20"/>
                <w:lang w:eastAsia="ar-SA"/>
              </w:rPr>
              <w:lastRenderedPageBreak/>
              <w:t>Istotnym ryzykiem, na które została zwrócona uwaga m.in. w wymienionej ekspertyzie są zmiany kosztów jednostkowych w zakresie szkoleń. Koszty jednostkowe mają duże znaczenie przy szacowaniu wartości docelowych. Jeżeli koszt jednostkowy będzie dużo niższy, wartość docelowa zostanie znacznie przekroczona. Jeżeli natomiast koszt będzie wyższy, wartość docelowa nie zostanie osiągnięta. Na takie ryzyko zwrócił również uwagę MC, wskazując na znaczne różnice w średnich kosztach szkoleń w działaniu 8.3 POIG pomiędzy projektami w różnych województwach. Przy czym należy podkreślić, iż dokonana analiza zakłada zmiany tych kosztów na określonym poziomie. Ponadto, należy wspomnieć, że koszt jednostkowy szkolenia stanowi średnią i nie uwzględnia sytuacji, w której dana osoba korzysta z wielu części, modułów szkolenia. W związku z tym, część uczestników może być szkolona z jednego modułu, natomiast inne osoby będą mogły korzystać z wielu części i koszt jednostkowy obu takich uczestników będzie nieporównywalny. Jednocześnie w systemie monitorowania zostanie wykazana jedna osoba przeszkolona, choć uczestników szkoleń zapewne będzie zdecydowanie więcej.</w:t>
            </w:r>
          </w:p>
          <w:p w:rsidR="00560461" w:rsidRPr="0017373C" w:rsidRDefault="00560461" w:rsidP="00560461">
            <w:pPr>
              <w:numPr>
                <w:ilvl w:val="0"/>
                <w:numId w:val="22"/>
              </w:numPr>
              <w:suppressAutoHyphens/>
              <w:autoSpaceDE w:val="0"/>
              <w:spacing w:before="120" w:after="120" w:line="240" w:lineRule="auto"/>
              <w:jc w:val="both"/>
              <w:rPr>
                <w:rFonts w:cs="Calibri"/>
                <w:spacing w:val="-2"/>
                <w:sz w:val="20"/>
                <w:szCs w:val="20"/>
                <w:lang w:eastAsia="ar-SA"/>
              </w:rPr>
            </w:pPr>
            <w:r w:rsidRPr="0017373C">
              <w:rPr>
                <w:rFonts w:cs="Calibri"/>
                <w:bCs/>
                <w:sz w:val="20"/>
                <w:szCs w:val="20"/>
                <w:lang w:eastAsia="ar-SA"/>
              </w:rPr>
              <w:t xml:space="preserve">Ze względu na fakt, że wsparcie jest kierowane do </w:t>
            </w:r>
            <w:r w:rsidRPr="0017373C">
              <w:rPr>
                <w:rFonts w:cs="Calibri"/>
                <w:spacing w:val="-2"/>
                <w:sz w:val="20"/>
                <w:szCs w:val="20"/>
                <w:lang w:eastAsia="ar-SA"/>
              </w:rPr>
              <w:t xml:space="preserve">m.in. </w:t>
            </w:r>
            <w:r w:rsidRPr="0017373C">
              <w:rPr>
                <w:rFonts w:cs="Calibri"/>
                <w:bCs/>
                <w:sz w:val="20"/>
                <w:szCs w:val="20"/>
                <w:lang w:eastAsia="ar-SA"/>
              </w:rPr>
              <w:t xml:space="preserve">grupy </w:t>
            </w:r>
            <w:r w:rsidRPr="0017373C">
              <w:rPr>
                <w:rFonts w:cs="Calibri"/>
                <w:spacing w:val="-2"/>
                <w:sz w:val="20"/>
                <w:szCs w:val="20"/>
                <w:lang w:eastAsia="ar-SA"/>
              </w:rPr>
              <w:t>zagrożonej wykluczeniem cyfrowym osoby starsze (</w:t>
            </w:r>
            <w:r>
              <w:rPr>
                <w:rFonts w:cs="Calibri"/>
                <w:spacing w:val="-2"/>
                <w:sz w:val="20"/>
                <w:szCs w:val="20"/>
                <w:lang w:eastAsia="ar-SA"/>
              </w:rPr>
              <w:t>65</w:t>
            </w:r>
            <w:r w:rsidRPr="0017373C">
              <w:rPr>
                <w:rFonts w:cs="Calibri"/>
                <w:spacing w:val="-2"/>
                <w:sz w:val="20"/>
                <w:szCs w:val="20"/>
                <w:lang w:eastAsia="ar-SA"/>
              </w:rPr>
              <w:t xml:space="preserve">+), niepełnosprawne, renciści oraz emeryci - zamieszkali zwłaszcza na terenach wiejskich (wsparcie obejmie także rolników i domowników) i w małych miastach), może wystąpić problem ze skuteczną rekrutacją. </w:t>
            </w:r>
            <w:r w:rsidRPr="0017373C">
              <w:rPr>
                <w:rFonts w:cs="Calibri"/>
                <w:bCs/>
                <w:sz w:val="20"/>
                <w:szCs w:val="20"/>
                <w:lang w:eastAsia="ar-SA"/>
              </w:rPr>
              <w:t>Problem ten może być zgłaszany przez beneficjentów</w:t>
            </w:r>
            <w:r w:rsidRPr="0017373C">
              <w:rPr>
                <w:rFonts w:cs="Calibri"/>
                <w:spacing w:val="-2"/>
                <w:sz w:val="20"/>
                <w:szCs w:val="20"/>
                <w:lang w:eastAsia="ar-SA"/>
              </w:rPr>
              <w:t xml:space="preserve">: </w:t>
            </w:r>
          </w:p>
          <w:p w:rsidR="00560461" w:rsidRPr="0017373C" w:rsidRDefault="00560461" w:rsidP="00560461">
            <w:pPr>
              <w:numPr>
                <w:ilvl w:val="1"/>
                <w:numId w:val="22"/>
              </w:numPr>
              <w:suppressAutoHyphens/>
              <w:autoSpaceDE w:val="0"/>
              <w:spacing w:before="120" w:after="120" w:line="240" w:lineRule="auto"/>
              <w:ind w:hanging="357"/>
              <w:jc w:val="both"/>
              <w:rPr>
                <w:rFonts w:cs="Calibri"/>
                <w:spacing w:val="-2"/>
                <w:sz w:val="20"/>
                <w:szCs w:val="20"/>
                <w:lang w:eastAsia="ar-SA"/>
              </w:rPr>
            </w:pPr>
            <w:r w:rsidRPr="0017373C">
              <w:rPr>
                <w:rFonts w:cs="Calibri"/>
                <w:spacing w:val="-2"/>
                <w:sz w:val="20"/>
                <w:szCs w:val="20"/>
                <w:lang w:eastAsia="ar-SA"/>
              </w:rPr>
              <w:t>Brak skutecznej rekrutacji,</w:t>
            </w:r>
          </w:p>
          <w:p w:rsidR="00560461" w:rsidRPr="0017373C" w:rsidRDefault="00560461" w:rsidP="00560461">
            <w:pPr>
              <w:numPr>
                <w:ilvl w:val="1"/>
                <w:numId w:val="22"/>
              </w:numPr>
              <w:suppressAutoHyphens/>
              <w:autoSpaceDE w:val="0"/>
              <w:spacing w:before="120" w:after="120" w:line="240" w:lineRule="auto"/>
              <w:ind w:hanging="357"/>
              <w:jc w:val="both"/>
              <w:rPr>
                <w:rFonts w:cs="Calibri"/>
                <w:spacing w:val="-2"/>
                <w:sz w:val="20"/>
                <w:szCs w:val="20"/>
                <w:lang w:eastAsia="ar-SA"/>
              </w:rPr>
            </w:pPr>
            <w:r w:rsidRPr="0017373C">
              <w:rPr>
                <w:rFonts w:cs="Calibri"/>
                <w:spacing w:val="-2"/>
                <w:sz w:val="20"/>
                <w:szCs w:val="20"/>
                <w:lang w:eastAsia="ar-SA"/>
              </w:rPr>
              <w:t xml:space="preserve">Brak zainteresowania wsparciem bądź udział w innych projektach. </w:t>
            </w:r>
          </w:p>
          <w:p w:rsidR="00560461" w:rsidRDefault="00560461" w:rsidP="00560461">
            <w:pPr>
              <w:numPr>
                <w:ilvl w:val="0"/>
                <w:numId w:val="22"/>
              </w:numPr>
              <w:suppressAutoHyphens/>
              <w:autoSpaceDE w:val="0"/>
              <w:spacing w:before="120" w:after="120" w:line="240" w:lineRule="auto"/>
              <w:ind w:hanging="357"/>
              <w:jc w:val="both"/>
              <w:rPr>
                <w:rFonts w:cs="Calibri"/>
                <w:spacing w:val="-2"/>
                <w:sz w:val="20"/>
                <w:szCs w:val="20"/>
                <w:lang w:eastAsia="ar-SA"/>
              </w:rPr>
            </w:pPr>
            <w:r w:rsidRPr="0017373C">
              <w:rPr>
                <w:rFonts w:cs="Calibri"/>
                <w:bCs/>
                <w:sz w:val="20"/>
                <w:szCs w:val="20"/>
                <w:lang w:eastAsia="ar-SA"/>
              </w:rPr>
              <w:t xml:space="preserve">Brak zainteresowania </w:t>
            </w:r>
            <w:proofErr w:type="spellStart"/>
            <w:r w:rsidRPr="0017373C">
              <w:rPr>
                <w:rFonts w:cs="Calibri"/>
                <w:bCs/>
                <w:sz w:val="20"/>
                <w:szCs w:val="20"/>
                <w:lang w:eastAsia="ar-SA"/>
              </w:rPr>
              <w:t>jst</w:t>
            </w:r>
            <w:proofErr w:type="spellEnd"/>
            <w:r w:rsidRPr="0017373C">
              <w:rPr>
                <w:rFonts w:cs="Calibri"/>
                <w:bCs/>
                <w:sz w:val="20"/>
                <w:szCs w:val="20"/>
                <w:lang w:eastAsia="ar-SA"/>
              </w:rPr>
              <w:t xml:space="preserve">, dla których przeznaczone będzie wsparcie w ramach 3.1 ze względu na priorytety inwestycyjne w innych obszarach działalności </w:t>
            </w:r>
            <w:proofErr w:type="spellStart"/>
            <w:r w:rsidRPr="0017373C">
              <w:rPr>
                <w:rFonts w:cs="Calibri"/>
                <w:bCs/>
                <w:sz w:val="20"/>
                <w:szCs w:val="20"/>
                <w:lang w:eastAsia="ar-SA"/>
              </w:rPr>
              <w:t>jst</w:t>
            </w:r>
            <w:proofErr w:type="spellEnd"/>
            <w:r w:rsidRPr="0017373C">
              <w:rPr>
                <w:rFonts w:cs="Calibri"/>
                <w:bCs/>
                <w:sz w:val="20"/>
                <w:szCs w:val="20"/>
                <w:lang w:eastAsia="ar-SA"/>
              </w:rPr>
              <w:t xml:space="preserve"> (transport, itp.) bądź też </w:t>
            </w:r>
            <w:r w:rsidRPr="0017373C">
              <w:rPr>
                <w:rFonts w:cs="Calibri"/>
                <w:spacing w:val="-2"/>
                <w:sz w:val="20"/>
                <w:szCs w:val="20"/>
                <w:lang w:eastAsia="ar-SA"/>
              </w:rPr>
              <w:t xml:space="preserve">związany m.in. z brakiem środków do wkładu własnego. </w:t>
            </w:r>
          </w:p>
          <w:p w:rsidR="00560461" w:rsidRPr="0017373C" w:rsidRDefault="00560461" w:rsidP="00560461">
            <w:pPr>
              <w:numPr>
                <w:ilvl w:val="0"/>
                <w:numId w:val="22"/>
              </w:numPr>
              <w:suppressAutoHyphens/>
              <w:autoSpaceDE w:val="0"/>
              <w:spacing w:before="120" w:after="120" w:line="240" w:lineRule="auto"/>
              <w:jc w:val="both"/>
              <w:rPr>
                <w:rFonts w:cs="Calibri"/>
                <w:spacing w:val="-2"/>
                <w:sz w:val="20"/>
                <w:szCs w:val="20"/>
                <w:lang w:eastAsia="ar-SA"/>
              </w:rPr>
            </w:pPr>
            <w:r>
              <w:rPr>
                <w:rFonts w:cs="Calibri"/>
                <w:spacing w:val="-2"/>
                <w:sz w:val="20"/>
                <w:szCs w:val="20"/>
                <w:lang w:eastAsia="ar-SA"/>
              </w:rPr>
              <w:t xml:space="preserve">Brak zainteresowania </w:t>
            </w:r>
            <w:r w:rsidRPr="00587618">
              <w:rPr>
                <w:rFonts w:cs="Calibri"/>
                <w:spacing w:val="-2"/>
                <w:sz w:val="20"/>
                <w:szCs w:val="20"/>
                <w:lang w:eastAsia="ar-SA"/>
              </w:rPr>
              <w:t>szkół</w:t>
            </w:r>
            <w:r>
              <w:rPr>
                <w:rFonts w:cs="Calibri"/>
                <w:spacing w:val="-2"/>
                <w:sz w:val="20"/>
                <w:szCs w:val="20"/>
                <w:lang w:eastAsia="ar-SA"/>
              </w:rPr>
              <w:t>,</w:t>
            </w:r>
            <w:r w:rsidRPr="00587618">
              <w:rPr>
                <w:rFonts w:cs="Calibri"/>
                <w:spacing w:val="-2"/>
                <w:sz w:val="20"/>
                <w:szCs w:val="20"/>
                <w:lang w:eastAsia="ar-SA"/>
              </w:rPr>
              <w:t xml:space="preserve"> nauczycieli </w:t>
            </w:r>
            <w:r>
              <w:rPr>
                <w:rFonts w:cs="Calibri"/>
                <w:spacing w:val="-2"/>
                <w:sz w:val="20"/>
                <w:szCs w:val="20"/>
                <w:lang w:eastAsia="ar-SA"/>
              </w:rPr>
              <w:t>oraz uczniów</w:t>
            </w:r>
            <w:r w:rsidRPr="00587618">
              <w:rPr>
                <w:rFonts w:cs="Calibri"/>
                <w:spacing w:val="-2"/>
                <w:sz w:val="20"/>
                <w:szCs w:val="20"/>
                <w:lang w:eastAsia="ar-SA"/>
              </w:rPr>
              <w:t xml:space="preserve"> zakresie działania 3.2</w:t>
            </w:r>
          </w:p>
          <w:p w:rsidR="00560461" w:rsidRPr="0017373C" w:rsidRDefault="00560461" w:rsidP="00560461">
            <w:pPr>
              <w:numPr>
                <w:ilvl w:val="0"/>
                <w:numId w:val="22"/>
              </w:numPr>
              <w:suppressAutoHyphens/>
              <w:autoSpaceDE w:val="0"/>
              <w:spacing w:before="120" w:after="120" w:line="240" w:lineRule="auto"/>
              <w:ind w:hanging="357"/>
              <w:jc w:val="both"/>
              <w:rPr>
                <w:rFonts w:cs="Calibri"/>
                <w:bCs/>
                <w:sz w:val="20"/>
                <w:szCs w:val="20"/>
                <w:lang w:eastAsia="ar-SA"/>
              </w:rPr>
            </w:pPr>
            <w:r w:rsidRPr="0017373C">
              <w:rPr>
                <w:rFonts w:cs="Calibri"/>
                <w:bCs/>
                <w:sz w:val="20"/>
                <w:szCs w:val="20"/>
                <w:lang w:eastAsia="ar-SA"/>
              </w:rPr>
              <w:t xml:space="preserve">Oszczędności przetargowe, wynikające np. z wahań wskaźników gospodarczych i finansowych (zmiany kursów, inflacji itp.), mogą stanowić istotne ryzyko. W przypadku zaproponowania przez ewentualnych beneficjentów znacznie niższych/wyższych kosztów w konkursach w 3.1 </w:t>
            </w:r>
            <w:r>
              <w:rPr>
                <w:rFonts w:cs="Calibri"/>
                <w:bCs/>
                <w:sz w:val="20"/>
                <w:szCs w:val="20"/>
                <w:lang w:eastAsia="ar-SA"/>
              </w:rPr>
              <w:t xml:space="preserve">oraz w 3.2 </w:t>
            </w:r>
            <w:r w:rsidRPr="0017373C">
              <w:rPr>
                <w:rFonts w:cs="Calibri"/>
                <w:bCs/>
                <w:sz w:val="20"/>
                <w:szCs w:val="20"/>
                <w:lang w:eastAsia="ar-SA"/>
              </w:rPr>
              <w:t>niż założone powyżej, wartości wskaźników docelowych mogą być istotnie niedoszacowane/ przeszacowane.</w:t>
            </w:r>
          </w:p>
          <w:p w:rsidR="00560461" w:rsidRPr="0017373C" w:rsidRDefault="00560461" w:rsidP="00560461">
            <w:pPr>
              <w:numPr>
                <w:ilvl w:val="0"/>
                <w:numId w:val="22"/>
              </w:numPr>
              <w:suppressAutoHyphens/>
              <w:autoSpaceDE w:val="0"/>
              <w:spacing w:before="120" w:after="120" w:line="240" w:lineRule="auto"/>
              <w:ind w:hanging="357"/>
              <w:jc w:val="both"/>
              <w:rPr>
                <w:rFonts w:cs="Calibri"/>
                <w:bCs/>
                <w:sz w:val="20"/>
                <w:szCs w:val="20"/>
                <w:lang w:eastAsia="ar-SA"/>
              </w:rPr>
            </w:pPr>
            <w:r w:rsidRPr="0017373C">
              <w:rPr>
                <w:rFonts w:cs="Calibri"/>
                <w:bCs/>
                <w:sz w:val="20"/>
                <w:szCs w:val="20"/>
                <w:lang w:eastAsia="ar-SA"/>
              </w:rPr>
              <w:t>Czynniki, które mogą wpłynąć na harmonogram realizacji planów działania dot. spełnienia warunków ex-</w:t>
            </w:r>
            <w:proofErr w:type="spellStart"/>
            <w:r w:rsidRPr="0017373C">
              <w:rPr>
                <w:rFonts w:cs="Calibri"/>
                <w:bCs/>
                <w:sz w:val="20"/>
                <w:szCs w:val="20"/>
                <w:lang w:eastAsia="ar-SA"/>
              </w:rPr>
              <w:t>ante</w:t>
            </w:r>
            <w:proofErr w:type="spellEnd"/>
            <w:r w:rsidRPr="0017373C">
              <w:rPr>
                <w:rFonts w:cs="Calibri"/>
                <w:bCs/>
                <w:sz w:val="20"/>
                <w:szCs w:val="20"/>
                <w:lang w:eastAsia="ar-SA"/>
              </w:rPr>
              <w:t>, a które są poza kompetencjami IZ oraz instytucji odpowiedzialnych za ich spełnienie.</w:t>
            </w:r>
          </w:p>
          <w:p w:rsidR="00560461" w:rsidRPr="0017373C" w:rsidRDefault="00560461" w:rsidP="00560461">
            <w:pPr>
              <w:numPr>
                <w:ilvl w:val="0"/>
                <w:numId w:val="22"/>
              </w:numPr>
              <w:suppressAutoHyphens/>
              <w:autoSpaceDE w:val="0"/>
              <w:spacing w:before="120" w:after="120" w:line="240" w:lineRule="auto"/>
              <w:ind w:hanging="357"/>
              <w:jc w:val="both"/>
              <w:rPr>
                <w:rFonts w:cs="Calibri"/>
                <w:bCs/>
                <w:sz w:val="20"/>
                <w:szCs w:val="20"/>
                <w:lang w:eastAsia="ar-SA"/>
              </w:rPr>
            </w:pPr>
            <w:r w:rsidRPr="0017373C">
              <w:rPr>
                <w:rFonts w:cs="Calibri"/>
                <w:bCs/>
                <w:sz w:val="20"/>
                <w:szCs w:val="20"/>
                <w:lang w:eastAsia="ar-SA"/>
              </w:rPr>
              <w:t>Długotrwałe procedury związane z zamówieniami publicznymi – ewentualna konieczność powtórzenia postępowania w przypadku braku ofert.</w:t>
            </w:r>
          </w:p>
          <w:p w:rsidR="00560461" w:rsidRPr="0017373C" w:rsidRDefault="00560461" w:rsidP="00004677">
            <w:pPr>
              <w:suppressAutoHyphens/>
              <w:autoSpaceDE w:val="0"/>
              <w:spacing w:after="0" w:line="240" w:lineRule="auto"/>
              <w:jc w:val="both"/>
              <w:rPr>
                <w:rFonts w:cs="Calibri"/>
                <w:bCs/>
                <w:sz w:val="20"/>
                <w:szCs w:val="20"/>
                <w:lang w:eastAsia="ar-SA"/>
              </w:rPr>
            </w:pPr>
          </w:p>
        </w:tc>
      </w:tr>
    </w:tbl>
    <w:p w:rsidR="00560461" w:rsidRDefault="00560461" w:rsidP="00560461"/>
    <w:p w:rsidR="00732540" w:rsidRDefault="00732540" w:rsidP="00BB5A64">
      <w:pPr>
        <w:spacing w:after="0" w:line="240" w:lineRule="auto"/>
        <w:jc w:val="both"/>
        <w:rPr>
          <w:rFonts w:cs="Calibri"/>
        </w:rPr>
      </w:pPr>
    </w:p>
    <w:p w:rsidR="00BF02A0" w:rsidRPr="004A4A5E" w:rsidRDefault="00BF02A0" w:rsidP="00BB5A64">
      <w:pPr>
        <w:spacing w:after="0" w:line="240" w:lineRule="auto"/>
        <w:jc w:val="both"/>
      </w:pPr>
    </w:p>
    <w:p w:rsidR="00BF02A0" w:rsidRDefault="00BF02A0" w:rsidP="0075352C">
      <w:pPr>
        <w:pStyle w:val="Nagwek1"/>
        <w:sectPr w:rsidR="00BF02A0" w:rsidSect="0043575D">
          <w:footerReference w:type="default" r:id="rId17"/>
          <w:pgSz w:w="11906" w:h="16838"/>
          <w:pgMar w:top="1417" w:right="1417" w:bottom="1417" w:left="1417" w:header="708" w:footer="708" w:gutter="0"/>
          <w:cols w:space="708"/>
          <w:docGrid w:linePitch="360"/>
        </w:sectPr>
      </w:pPr>
    </w:p>
    <w:p w:rsidR="00732540" w:rsidRDefault="00BF02A0" w:rsidP="00BB5A64">
      <w:pPr>
        <w:pStyle w:val="Nagwek1"/>
      </w:pPr>
      <w:bookmarkStart w:id="24" w:name="_Toc401825902"/>
      <w:r>
        <w:lastRenderedPageBreak/>
        <w:t>Spis</w:t>
      </w:r>
      <w:r w:rsidR="0075352C">
        <w:t xml:space="preserve"> tabel</w:t>
      </w:r>
      <w:bookmarkEnd w:id="24"/>
    </w:p>
    <w:p w:rsidR="00A0740B" w:rsidRPr="00597BF5" w:rsidRDefault="0075352C" w:rsidP="00597BF5">
      <w:pPr>
        <w:pStyle w:val="Spisilustracji"/>
        <w:tabs>
          <w:tab w:val="right" w:leader="dot" w:pos="9062"/>
        </w:tabs>
        <w:spacing w:before="120" w:after="120"/>
        <w:rPr>
          <w:rFonts w:eastAsia="Times New Roman"/>
          <w:noProof/>
          <w:sz w:val="20"/>
          <w:lang w:eastAsia="pl-PL"/>
        </w:rPr>
      </w:pPr>
      <w:r w:rsidRPr="000755CD">
        <w:fldChar w:fldCharType="begin"/>
      </w:r>
      <w:r w:rsidRPr="00597BF5">
        <w:instrText xml:space="preserve"> TOC \h \z \c "Tabela" </w:instrText>
      </w:r>
      <w:r w:rsidRPr="000755CD">
        <w:fldChar w:fldCharType="separate"/>
      </w:r>
      <w:hyperlink w:anchor="_Toc401826754" w:history="1">
        <w:r w:rsidR="00A0740B" w:rsidRPr="00597BF5">
          <w:rPr>
            <w:rStyle w:val="Hipercze"/>
            <w:noProof/>
            <w:sz w:val="20"/>
          </w:rPr>
          <w:t>Tabela 1 - Zastosowanie algorytmu do określenia minimalnego poziomu certyfikacji na koniec 2018 r.</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_Toc401826754 \h </w:instrText>
        </w:r>
        <w:r w:rsidR="00A0740B" w:rsidRPr="00597BF5">
          <w:rPr>
            <w:noProof/>
            <w:webHidden/>
            <w:sz w:val="20"/>
          </w:rPr>
        </w:r>
        <w:r w:rsidR="00A0740B" w:rsidRPr="00597BF5">
          <w:rPr>
            <w:noProof/>
            <w:webHidden/>
            <w:sz w:val="20"/>
          </w:rPr>
          <w:fldChar w:fldCharType="separate"/>
        </w:r>
        <w:r w:rsidR="002570DE">
          <w:rPr>
            <w:noProof/>
            <w:webHidden/>
            <w:sz w:val="20"/>
          </w:rPr>
          <w:t>2</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55" w:history="1">
        <w:r w:rsidR="00A0740B" w:rsidRPr="00597BF5">
          <w:rPr>
            <w:rStyle w:val="Hipercze"/>
            <w:noProof/>
            <w:sz w:val="20"/>
          </w:rPr>
          <w:t>Tabela 2 - Zastosowanie algorytmu do określenia minimalnego poziomu certyfikacji na koniec 2023 r.</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_Toc401826755 \h </w:instrText>
        </w:r>
        <w:r w:rsidR="00A0740B" w:rsidRPr="00597BF5">
          <w:rPr>
            <w:noProof/>
            <w:webHidden/>
            <w:sz w:val="20"/>
          </w:rPr>
        </w:r>
        <w:r w:rsidR="00A0740B" w:rsidRPr="00597BF5">
          <w:rPr>
            <w:noProof/>
            <w:webHidden/>
            <w:sz w:val="20"/>
          </w:rPr>
          <w:fldChar w:fldCharType="separate"/>
        </w:r>
        <w:r w:rsidR="002570DE">
          <w:rPr>
            <w:noProof/>
            <w:webHidden/>
            <w:sz w:val="20"/>
          </w:rPr>
          <w:t>3</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56" w:history="1">
        <w:r w:rsidR="00A0740B" w:rsidRPr="00597BF5">
          <w:rPr>
            <w:rStyle w:val="Hipercze"/>
            <w:noProof/>
            <w:sz w:val="20"/>
          </w:rPr>
          <w:t>Tabela 3 - Cele pośrednie i końcowe dla wskaźnika finansowego</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_Toc401826756 \h </w:instrText>
        </w:r>
        <w:r w:rsidR="00A0740B" w:rsidRPr="00597BF5">
          <w:rPr>
            <w:noProof/>
            <w:webHidden/>
            <w:sz w:val="20"/>
          </w:rPr>
        </w:r>
        <w:r w:rsidR="00A0740B" w:rsidRPr="00597BF5">
          <w:rPr>
            <w:noProof/>
            <w:webHidden/>
            <w:sz w:val="20"/>
          </w:rPr>
          <w:fldChar w:fldCharType="separate"/>
        </w:r>
        <w:r w:rsidR="002570DE">
          <w:rPr>
            <w:noProof/>
            <w:webHidden/>
            <w:sz w:val="20"/>
          </w:rPr>
          <w:t>4</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57" w:history="1">
        <w:r w:rsidR="00A0740B" w:rsidRPr="00597BF5">
          <w:rPr>
            <w:rStyle w:val="Hipercze"/>
            <w:noProof/>
            <w:sz w:val="20"/>
          </w:rPr>
          <w:t>Tabela 4 - Wskaźniki wprowadzone do ram wykonania w ramach osi priorytetowej I</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_Toc401826757 \h </w:instrText>
        </w:r>
        <w:r w:rsidR="00A0740B" w:rsidRPr="00597BF5">
          <w:rPr>
            <w:noProof/>
            <w:webHidden/>
            <w:sz w:val="20"/>
          </w:rPr>
        </w:r>
        <w:r w:rsidR="00A0740B" w:rsidRPr="00597BF5">
          <w:rPr>
            <w:noProof/>
            <w:webHidden/>
            <w:sz w:val="20"/>
          </w:rPr>
          <w:fldChar w:fldCharType="separate"/>
        </w:r>
        <w:r w:rsidR="002570DE">
          <w:rPr>
            <w:noProof/>
            <w:webHidden/>
            <w:sz w:val="20"/>
          </w:rPr>
          <w:t>7</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58" w:history="1">
        <w:r w:rsidR="00A0740B" w:rsidRPr="00597BF5">
          <w:rPr>
            <w:rStyle w:val="Hipercze"/>
            <w:noProof/>
            <w:sz w:val="20"/>
          </w:rPr>
          <w:t>Tabela 5 - Nakłady niezbędne dla podłączenia do Internetu jednego gospodarstwa domowego</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_Toc401826758 \h </w:instrText>
        </w:r>
        <w:r w:rsidR="00A0740B" w:rsidRPr="00597BF5">
          <w:rPr>
            <w:noProof/>
            <w:webHidden/>
            <w:sz w:val="20"/>
          </w:rPr>
        </w:r>
        <w:r w:rsidR="00A0740B" w:rsidRPr="00597BF5">
          <w:rPr>
            <w:noProof/>
            <w:webHidden/>
            <w:sz w:val="20"/>
          </w:rPr>
          <w:fldChar w:fldCharType="separate"/>
        </w:r>
        <w:r w:rsidR="002570DE">
          <w:rPr>
            <w:noProof/>
            <w:webHidden/>
            <w:sz w:val="20"/>
          </w:rPr>
          <w:t>10</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59" w:history="1">
        <w:r w:rsidR="00A0740B" w:rsidRPr="00597BF5">
          <w:rPr>
            <w:rStyle w:val="Hipercze"/>
            <w:noProof/>
            <w:sz w:val="20"/>
          </w:rPr>
          <w:t>Tabela 6 - Alokacja w ramach osi priorytetowej I POPC</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_Toc401826759 \h </w:instrText>
        </w:r>
        <w:r w:rsidR="00A0740B" w:rsidRPr="00597BF5">
          <w:rPr>
            <w:noProof/>
            <w:webHidden/>
            <w:sz w:val="20"/>
          </w:rPr>
        </w:r>
        <w:r w:rsidR="00A0740B" w:rsidRPr="00597BF5">
          <w:rPr>
            <w:noProof/>
            <w:webHidden/>
            <w:sz w:val="20"/>
          </w:rPr>
          <w:fldChar w:fldCharType="separate"/>
        </w:r>
        <w:r w:rsidR="002570DE">
          <w:rPr>
            <w:noProof/>
            <w:webHidden/>
            <w:sz w:val="20"/>
          </w:rPr>
          <w:t>11</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0" w:history="1">
        <w:r w:rsidR="00A0740B" w:rsidRPr="00597BF5">
          <w:rPr>
            <w:rStyle w:val="Hipercze"/>
            <w:noProof/>
            <w:sz w:val="20"/>
          </w:rPr>
          <w:t>Tabela 7 - Nakłady niezbędne dla podłączenia do Internetu gospodarstw domowych w regionie lepiej rozwiniętym (w tys. PLN)</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_Toc401826760 \h </w:instrText>
        </w:r>
        <w:r w:rsidR="00A0740B" w:rsidRPr="00597BF5">
          <w:rPr>
            <w:noProof/>
            <w:webHidden/>
            <w:sz w:val="20"/>
          </w:rPr>
        </w:r>
        <w:r w:rsidR="00A0740B" w:rsidRPr="00597BF5">
          <w:rPr>
            <w:noProof/>
            <w:webHidden/>
            <w:sz w:val="20"/>
          </w:rPr>
          <w:fldChar w:fldCharType="separate"/>
        </w:r>
        <w:r w:rsidR="002570DE">
          <w:rPr>
            <w:noProof/>
            <w:webHidden/>
            <w:sz w:val="20"/>
          </w:rPr>
          <w:t>11</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1" w:history="1">
        <w:r w:rsidR="00A0740B" w:rsidRPr="00597BF5">
          <w:rPr>
            <w:rStyle w:val="Hipercze"/>
            <w:noProof/>
            <w:sz w:val="20"/>
          </w:rPr>
          <w:t>Tabela 8 - Podłączenia dzięki nakładom z POPC w regionie lepiej rozwiniętym (w tys. PLN)</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_Toc401826761 \h </w:instrText>
        </w:r>
        <w:r w:rsidR="00A0740B" w:rsidRPr="00597BF5">
          <w:rPr>
            <w:noProof/>
            <w:webHidden/>
            <w:sz w:val="20"/>
          </w:rPr>
        </w:r>
        <w:r w:rsidR="00A0740B" w:rsidRPr="00597BF5">
          <w:rPr>
            <w:noProof/>
            <w:webHidden/>
            <w:sz w:val="20"/>
          </w:rPr>
          <w:fldChar w:fldCharType="separate"/>
        </w:r>
        <w:r w:rsidR="002570DE">
          <w:rPr>
            <w:noProof/>
            <w:webHidden/>
            <w:sz w:val="20"/>
          </w:rPr>
          <w:t>12</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2" w:history="1">
        <w:r w:rsidR="00A0740B" w:rsidRPr="00597BF5">
          <w:rPr>
            <w:rStyle w:val="Hipercze"/>
            <w:noProof/>
            <w:sz w:val="20"/>
          </w:rPr>
          <w:t>Tabela 9 - Nakłady niezbędne dla podłączenia do Internetu gospodarstw domowych w regionach słabiej rozwiniętym (w tys. PLN)</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_Toc401826762 \h </w:instrText>
        </w:r>
        <w:r w:rsidR="00A0740B" w:rsidRPr="00597BF5">
          <w:rPr>
            <w:noProof/>
            <w:webHidden/>
            <w:sz w:val="20"/>
          </w:rPr>
        </w:r>
        <w:r w:rsidR="00A0740B" w:rsidRPr="00597BF5">
          <w:rPr>
            <w:noProof/>
            <w:webHidden/>
            <w:sz w:val="20"/>
          </w:rPr>
          <w:fldChar w:fldCharType="separate"/>
        </w:r>
        <w:r w:rsidR="002570DE">
          <w:rPr>
            <w:noProof/>
            <w:webHidden/>
            <w:sz w:val="20"/>
          </w:rPr>
          <w:t>13</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3" w:history="1">
        <w:r w:rsidR="00A0740B" w:rsidRPr="00597BF5">
          <w:rPr>
            <w:rStyle w:val="Hipercze"/>
            <w:noProof/>
            <w:sz w:val="20"/>
          </w:rPr>
          <w:t>Tabela 10 - Nakłady niezbędne dla podłączenia do Internetu gospodarstw domowych w regionie słabiej rozwiniętym (w tys. PLN)</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_Toc401826763 \h </w:instrText>
        </w:r>
        <w:r w:rsidR="00A0740B" w:rsidRPr="00597BF5">
          <w:rPr>
            <w:noProof/>
            <w:webHidden/>
            <w:sz w:val="20"/>
          </w:rPr>
        </w:r>
        <w:r w:rsidR="00A0740B" w:rsidRPr="00597BF5">
          <w:rPr>
            <w:noProof/>
            <w:webHidden/>
            <w:sz w:val="20"/>
          </w:rPr>
          <w:fldChar w:fldCharType="separate"/>
        </w:r>
        <w:r w:rsidR="002570DE">
          <w:rPr>
            <w:noProof/>
            <w:webHidden/>
            <w:sz w:val="20"/>
          </w:rPr>
          <w:t>14</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4" w:history="1">
        <w:r w:rsidR="00A0740B" w:rsidRPr="00597BF5">
          <w:rPr>
            <w:rStyle w:val="Hipercze"/>
            <w:noProof/>
            <w:sz w:val="20"/>
          </w:rPr>
          <w:t>Tabela 11 - Wskaźniki wprowadzone do ram wykonania w ramach osi priorytetowej II</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_Toc401826764 \h </w:instrText>
        </w:r>
        <w:r w:rsidR="00A0740B" w:rsidRPr="00597BF5">
          <w:rPr>
            <w:noProof/>
            <w:webHidden/>
            <w:sz w:val="20"/>
          </w:rPr>
        </w:r>
        <w:r w:rsidR="00A0740B" w:rsidRPr="00597BF5">
          <w:rPr>
            <w:noProof/>
            <w:webHidden/>
            <w:sz w:val="20"/>
          </w:rPr>
          <w:fldChar w:fldCharType="separate"/>
        </w:r>
        <w:r w:rsidR="002570DE">
          <w:rPr>
            <w:noProof/>
            <w:webHidden/>
            <w:sz w:val="20"/>
          </w:rPr>
          <w:t>19</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5" w:history="1">
        <w:r w:rsidR="00A0740B" w:rsidRPr="00597BF5">
          <w:rPr>
            <w:rStyle w:val="Hipercze"/>
            <w:rFonts w:cs="Calibri"/>
            <w:bCs/>
            <w:noProof/>
            <w:sz w:val="20"/>
            <w:lang w:eastAsia="ar-SA"/>
          </w:rPr>
          <w:t>Tabela 12 - Wskaźniki wprowadzone do ram wykonania w ramach osi priorytetowej III</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_Toc401826765 \h </w:instrText>
        </w:r>
        <w:r w:rsidR="00A0740B" w:rsidRPr="00597BF5">
          <w:rPr>
            <w:noProof/>
            <w:webHidden/>
            <w:sz w:val="20"/>
          </w:rPr>
        </w:r>
        <w:r w:rsidR="00A0740B" w:rsidRPr="00597BF5">
          <w:rPr>
            <w:noProof/>
            <w:webHidden/>
            <w:sz w:val="20"/>
          </w:rPr>
          <w:fldChar w:fldCharType="separate"/>
        </w:r>
        <w:r w:rsidR="002570DE">
          <w:rPr>
            <w:noProof/>
            <w:webHidden/>
            <w:sz w:val="20"/>
          </w:rPr>
          <w:t>25</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6" w:history="1">
        <w:r w:rsidR="00A0740B" w:rsidRPr="00597BF5">
          <w:rPr>
            <w:rStyle w:val="Hipercze"/>
            <w:rFonts w:cs="Calibri"/>
            <w:bCs/>
            <w:noProof/>
            <w:sz w:val="20"/>
            <w:lang w:eastAsia="ar-SA"/>
          </w:rPr>
          <w:t>Tabela 13 - Alokacja w ramach działania 3.1</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_Toc401826766 \h </w:instrText>
        </w:r>
        <w:r w:rsidR="00A0740B" w:rsidRPr="00597BF5">
          <w:rPr>
            <w:noProof/>
            <w:webHidden/>
            <w:sz w:val="20"/>
          </w:rPr>
        </w:r>
        <w:r w:rsidR="00A0740B" w:rsidRPr="00597BF5">
          <w:rPr>
            <w:noProof/>
            <w:webHidden/>
            <w:sz w:val="20"/>
          </w:rPr>
          <w:fldChar w:fldCharType="separate"/>
        </w:r>
        <w:r w:rsidR="002570DE">
          <w:rPr>
            <w:noProof/>
            <w:webHidden/>
            <w:sz w:val="20"/>
          </w:rPr>
          <w:t>28</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8" w:history="1">
        <w:r w:rsidR="00544B8B">
          <w:rPr>
            <w:rStyle w:val="Hipercze"/>
            <w:rFonts w:cs="Calibri"/>
            <w:bCs/>
            <w:noProof/>
            <w:sz w:val="20"/>
            <w:lang w:eastAsia="ar-SA"/>
          </w:rPr>
          <w:t>Tabela 14</w:t>
        </w:r>
        <w:r w:rsidR="00A0740B" w:rsidRPr="00597BF5">
          <w:rPr>
            <w:rStyle w:val="Hipercze"/>
            <w:rFonts w:cs="Calibri"/>
            <w:bCs/>
            <w:noProof/>
            <w:sz w:val="20"/>
            <w:lang w:eastAsia="ar-SA"/>
          </w:rPr>
          <w:t xml:space="preserve"> – Średnie kosztów osoboszkolenia w podziale na kategorie regionów</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_Toc401826768 \h </w:instrText>
        </w:r>
        <w:r w:rsidR="00A0740B" w:rsidRPr="00597BF5">
          <w:rPr>
            <w:noProof/>
            <w:webHidden/>
            <w:sz w:val="20"/>
          </w:rPr>
        </w:r>
        <w:r w:rsidR="00A0740B" w:rsidRPr="00597BF5">
          <w:rPr>
            <w:noProof/>
            <w:webHidden/>
            <w:sz w:val="20"/>
          </w:rPr>
          <w:fldChar w:fldCharType="separate"/>
        </w:r>
        <w:r w:rsidR="002570DE">
          <w:rPr>
            <w:noProof/>
            <w:webHidden/>
            <w:sz w:val="20"/>
          </w:rPr>
          <w:t>29</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69" w:history="1">
        <w:r w:rsidR="00544B8B">
          <w:rPr>
            <w:rStyle w:val="Hipercze"/>
            <w:rFonts w:cs="Calibri"/>
            <w:bCs/>
            <w:noProof/>
            <w:sz w:val="20"/>
            <w:lang w:eastAsia="ar-SA"/>
          </w:rPr>
          <w:t>Tabela 15</w:t>
        </w:r>
        <w:r w:rsidR="00A0740B" w:rsidRPr="00597BF5">
          <w:rPr>
            <w:rStyle w:val="Hipercze"/>
            <w:rFonts w:cs="Calibri"/>
            <w:bCs/>
            <w:noProof/>
            <w:sz w:val="20"/>
            <w:lang w:eastAsia="ar-SA"/>
          </w:rPr>
          <w:t xml:space="preserve"> - Wartości wskaźnika w działaniu 3.1 w 2023 r.</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_Toc401826769 \h </w:instrText>
        </w:r>
        <w:r w:rsidR="00A0740B" w:rsidRPr="00597BF5">
          <w:rPr>
            <w:noProof/>
            <w:webHidden/>
            <w:sz w:val="20"/>
          </w:rPr>
        </w:r>
        <w:r w:rsidR="00A0740B" w:rsidRPr="00597BF5">
          <w:rPr>
            <w:noProof/>
            <w:webHidden/>
            <w:sz w:val="20"/>
          </w:rPr>
          <w:fldChar w:fldCharType="separate"/>
        </w:r>
        <w:r w:rsidR="002570DE">
          <w:rPr>
            <w:noProof/>
            <w:webHidden/>
            <w:sz w:val="20"/>
          </w:rPr>
          <w:t>31</w:t>
        </w:r>
        <w:r w:rsidR="00A0740B" w:rsidRPr="00597BF5">
          <w:rPr>
            <w:noProof/>
            <w:webHidden/>
            <w:sz w:val="20"/>
          </w:rPr>
          <w:fldChar w:fldCharType="end"/>
        </w:r>
      </w:hyperlink>
    </w:p>
    <w:p w:rsidR="00A0740B" w:rsidRPr="00597BF5" w:rsidRDefault="00050B55" w:rsidP="00597BF5">
      <w:pPr>
        <w:pStyle w:val="Spisilustracji"/>
        <w:tabs>
          <w:tab w:val="right" w:leader="dot" w:pos="9062"/>
        </w:tabs>
        <w:spacing w:before="120" w:after="120"/>
        <w:rPr>
          <w:rFonts w:eastAsia="Times New Roman"/>
          <w:noProof/>
          <w:sz w:val="20"/>
          <w:lang w:eastAsia="pl-PL"/>
        </w:rPr>
      </w:pPr>
      <w:hyperlink w:anchor="_Toc401826770" w:history="1">
        <w:r w:rsidR="00A0740B" w:rsidRPr="00597BF5">
          <w:rPr>
            <w:rStyle w:val="Hipercze"/>
            <w:noProof/>
            <w:sz w:val="20"/>
          </w:rPr>
          <w:t>Tabela 1</w:t>
        </w:r>
        <w:r w:rsidR="00544B8B">
          <w:rPr>
            <w:rStyle w:val="Hipercze"/>
            <w:noProof/>
            <w:sz w:val="20"/>
          </w:rPr>
          <w:t>6</w:t>
        </w:r>
        <w:r w:rsidR="00A0740B" w:rsidRPr="00597BF5">
          <w:rPr>
            <w:rStyle w:val="Hipercze"/>
            <w:noProof/>
            <w:sz w:val="20"/>
          </w:rPr>
          <w:t xml:space="preserve"> - Wartości wskaźnika w działaniu 3.1 w 2018 r. na podstawie umów o dofinansowanie</w:t>
        </w:r>
        <w:r w:rsidR="00A0740B" w:rsidRPr="00597BF5">
          <w:rPr>
            <w:noProof/>
            <w:webHidden/>
            <w:sz w:val="20"/>
          </w:rPr>
          <w:tab/>
        </w:r>
        <w:r w:rsidR="00A0740B" w:rsidRPr="00597BF5">
          <w:rPr>
            <w:noProof/>
            <w:webHidden/>
            <w:sz w:val="20"/>
          </w:rPr>
          <w:fldChar w:fldCharType="begin"/>
        </w:r>
        <w:r w:rsidR="00A0740B" w:rsidRPr="00597BF5">
          <w:rPr>
            <w:noProof/>
            <w:webHidden/>
            <w:sz w:val="20"/>
          </w:rPr>
          <w:instrText xml:space="preserve"> PAGEREF _Toc401826770 \h </w:instrText>
        </w:r>
        <w:r w:rsidR="00A0740B" w:rsidRPr="00597BF5">
          <w:rPr>
            <w:noProof/>
            <w:webHidden/>
            <w:sz w:val="20"/>
          </w:rPr>
        </w:r>
        <w:r w:rsidR="00A0740B" w:rsidRPr="00597BF5">
          <w:rPr>
            <w:noProof/>
            <w:webHidden/>
            <w:sz w:val="20"/>
          </w:rPr>
          <w:fldChar w:fldCharType="separate"/>
        </w:r>
        <w:r w:rsidR="002570DE">
          <w:rPr>
            <w:noProof/>
            <w:webHidden/>
            <w:sz w:val="20"/>
          </w:rPr>
          <w:t>33</w:t>
        </w:r>
        <w:r w:rsidR="00A0740B" w:rsidRPr="00597BF5">
          <w:rPr>
            <w:noProof/>
            <w:webHidden/>
            <w:sz w:val="20"/>
          </w:rPr>
          <w:fldChar w:fldCharType="end"/>
        </w:r>
      </w:hyperlink>
    </w:p>
    <w:p w:rsidR="00722C00" w:rsidRPr="000755CD" w:rsidRDefault="0075352C" w:rsidP="00597BF5">
      <w:pPr>
        <w:spacing w:before="120" w:after="120" w:line="240" w:lineRule="auto"/>
        <w:jc w:val="both"/>
      </w:pPr>
      <w:r w:rsidRPr="000755CD">
        <w:fldChar w:fldCharType="end"/>
      </w:r>
    </w:p>
    <w:p w:rsidR="009E2E08" w:rsidRDefault="009E2E08" w:rsidP="0046457D">
      <w:pPr>
        <w:pStyle w:val="Nagwek1"/>
        <w:sectPr w:rsidR="009E2E08" w:rsidSect="0043575D">
          <w:pgSz w:w="11906" w:h="16838"/>
          <w:pgMar w:top="1417" w:right="1417" w:bottom="1417" w:left="1417" w:header="708" w:footer="708" w:gutter="0"/>
          <w:cols w:space="708"/>
          <w:docGrid w:linePitch="360"/>
        </w:sectPr>
      </w:pPr>
    </w:p>
    <w:p w:rsidR="0046457D" w:rsidRDefault="0046457D" w:rsidP="00BB5A64">
      <w:pPr>
        <w:pStyle w:val="Nagwek1"/>
      </w:pPr>
      <w:bookmarkStart w:id="25" w:name="_Toc401825903"/>
      <w:r>
        <w:lastRenderedPageBreak/>
        <w:t>Spis skrótów</w:t>
      </w:r>
      <w:bookmarkEnd w:id="25"/>
    </w:p>
    <w:p w:rsidR="0041783B" w:rsidRDefault="0041783B" w:rsidP="00BB5A64">
      <w:pPr>
        <w:tabs>
          <w:tab w:val="left" w:pos="567"/>
          <w:tab w:val="left" w:pos="851"/>
        </w:tabs>
        <w:spacing w:after="0"/>
        <w:ind w:left="851" w:hanging="851"/>
        <w:rPr>
          <w:sz w:val="20"/>
          <w:szCs w:val="20"/>
        </w:rPr>
      </w:pPr>
    </w:p>
    <w:p w:rsidR="00503960" w:rsidRPr="00BB5A64" w:rsidRDefault="00503960" w:rsidP="00BB5A64">
      <w:pPr>
        <w:tabs>
          <w:tab w:val="left" w:pos="851"/>
          <w:tab w:val="left" w:pos="993"/>
        </w:tabs>
        <w:spacing w:after="0"/>
        <w:ind w:left="851" w:hanging="851"/>
        <w:rPr>
          <w:sz w:val="20"/>
          <w:szCs w:val="20"/>
        </w:rPr>
      </w:pPr>
      <w:r w:rsidRPr="00BB5A64">
        <w:rPr>
          <w:sz w:val="20"/>
          <w:szCs w:val="20"/>
        </w:rPr>
        <w:t>A2A</w:t>
      </w:r>
      <w:r w:rsidRPr="00BB5A64">
        <w:rPr>
          <w:sz w:val="20"/>
          <w:szCs w:val="20"/>
        </w:rPr>
        <w:tab/>
        <w:t xml:space="preserve">Administration to </w:t>
      </w:r>
      <w:proofErr w:type="spellStart"/>
      <w:r w:rsidRPr="00BB5A64">
        <w:rPr>
          <w:sz w:val="20"/>
          <w:szCs w:val="20"/>
        </w:rPr>
        <w:t>administration</w:t>
      </w:r>
      <w:proofErr w:type="spellEnd"/>
      <w:r w:rsidRPr="00BB5A64">
        <w:rPr>
          <w:sz w:val="20"/>
          <w:szCs w:val="20"/>
        </w:rPr>
        <w:t xml:space="preserve"> (ang.) – </w:t>
      </w:r>
      <w:r>
        <w:rPr>
          <w:sz w:val="20"/>
          <w:szCs w:val="20"/>
        </w:rPr>
        <w:t>U</w:t>
      </w:r>
      <w:r w:rsidRPr="00BB5A64">
        <w:rPr>
          <w:sz w:val="20"/>
          <w:szCs w:val="20"/>
        </w:rPr>
        <w:t>sługi administracji dla administracji</w:t>
      </w:r>
    </w:p>
    <w:p w:rsidR="00503960" w:rsidRPr="00BB5A64" w:rsidRDefault="00503960" w:rsidP="00BB5A64">
      <w:pPr>
        <w:shd w:val="clear" w:color="auto" w:fill="D9D9D9"/>
        <w:tabs>
          <w:tab w:val="left" w:pos="851"/>
          <w:tab w:val="left" w:pos="993"/>
        </w:tabs>
        <w:spacing w:after="0"/>
        <w:ind w:left="851" w:hanging="851"/>
        <w:rPr>
          <w:sz w:val="20"/>
          <w:szCs w:val="20"/>
        </w:rPr>
      </w:pPr>
      <w:r w:rsidRPr="00BB5A64">
        <w:rPr>
          <w:sz w:val="20"/>
          <w:szCs w:val="20"/>
        </w:rPr>
        <w:t>A2B</w:t>
      </w:r>
      <w:r w:rsidRPr="00BB5A64">
        <w:rPr>
          <w:sz w:val="20"/>
          <w:szCs w:val="20"/>
        </w:rPr>
        <w:tab/>
        <w:t xml:space="preserve">Administration to business (ang.) – </w:t>
      </w:r>
      <w:r>
        <w:rPr>
          <w:sz w:val="20"/>
          <w:szCs w:val="20"/>
        </w:rPr>
        <w:t>U</w:t>
      </w:r>
      <w:r w:rsidRPr="00BB5A64">
        <w:rPr>
          <w:sz w:val="20"/>
          <w:szCs w:val="20"/>
        </w:rPr>
        <w:t>sługi administracji dla biznesu</w:t>
      </w:r>
    </w:p>
    <w:p w:rsidR="00503960" w:rsidRPr="00BB5A64" w:rsidRDefault="00503960" w:rsidP="00BB5A64">
      <w:pPr>
        <w:tabs>
          <w:tab w:val="left" w:pos="851"/>
          <w:tab w:val="left" w:pos="993"/>
        </w:tabs>
        <w:spacing w:after="0"/>
        <w:ind w:left="851" w:hanging="851"/>
        <w:rPr>
          <w:sz w:val="20"/>
          <w:szCs w:val="20"/>
        </w:rPr>
      </w:pPr>
      <w:r w:rsidRPr="00BB5A64">
        <w:rPr>
          <w:sz w:val="20"/>
          <w:szCs w:val="20"/>
        </w:rPr>
        <w:t>A2C</w:t>
      </w:r>
      <w:r w:rsidRPr="00BB5A64">
        <w:rPr>
          <w:sz w:val="20"/>
          <w:szCs w:val="20"/>
        </w:rPr>
        <w:tab/>
        <w:t>Admini</w:t>
      </w:r>
      <w:r>
        <w:rPr>
          <w:sz w:val="20"/>
          <w:szCs w:val="20"/>
        </w:rPr>
        <w:t xml:space="preserve">stration to </w:t>
      </w:r>
      <w:proofErr w:type="spellStart"/>
      <w:r>
        <w:rPr>
          <w:sz w:val="20"/>
          <w:szCs w:val="20"/>
        </w:rPr>
        <w:t>citizen</w:t>
      </w:r>
      <w:proofErr w:type="spellEnd"/>
      <w:r>
        <w:rPr>
          <w:sz w:val="20"/>
          <w:szCs w:val="20"/>
        </w:rPr>
        <w:t xml:space="preserve"> (ang.) - U</w:t>
      </w:r>
      <w:r w:rsidRPr="00BB5A64">
        <w:rPr>
          <w:sz w:val="20"/>
          <w:szCs w:val="20"/>
        </w:rPr>
        <w:t>sługi administracji dla obywateli</w:t>
      </w:r>
    </w:p>
    <w:p w:rsidR="00503960" w:rsidRPr="00840299" w:rsidRDefault="00503960" w:rsidP="00503960">
      <w:pPr>
        <w:shd w:val="clear" w:color="auto" w:fill="D9D9D9"/>
        <w:tabs>
          <w:tab w:val="left" w:pos="851"/>
          <w:tab w:val="left" w:pos="993"/>
        </w:tabs>
        <w:spacing w:after="0"/>
        <w:ind w:left="851" w:hanging="851"/>
        <w:rPr>
          <w:sz w:val="20"/>
          <w:szCs w:val="20"/>
          <w:lang w:val="it-IT"/>
        </w:rPr>
      </w:pPr>
      <w:r w:rsidRPr="00840299">
        <w:rPr>
          <w:sz w:val="20"/>
          <w:szCs w:val="20"/>
          <w:lang w:val="it-IT"/>
        </w:rPr>
        <w:t>CI</w:t>
      </w:r>
      <w:r w:rsidRPr="00840299">
        <w:rPr>
          <w:sz w:val="20"/>
          <w:szCs w:val="20"/>
          <w:lang w:val="it-IT"/>
        </w:rPr>
        <w:tab/>
        <w:t>Common Indicator</w:t>
      </w:r>
    </w:p>
    <w:p w:rsidR="00503960" w:rsidRPr="00840299" w:rsidRDefault="00503960" w:rsidP="00BB5A64">
      <w:pPr>
        <w:tabs>
          <w:tab w:val="left" w:pos="851"/>
          <w:tab w:val="left" w:pos="993"/>
        </w:tabs>
        <w:spacing w:after="0"/>
        <w:ind w:left="851" w:hanging="851"/>
        <w:rPr>
          <w:sz w:val="20"/>
          <w:szCs w:val="20"/>
          <w:lang w:val="it-IT"/>
        </w:rPr>
      </w:pPr>
      <w:r w:rsidRPr="00840299">
        <w:rPr>
          <w:sz w:val="20"/>
          <w:szCs w:val="20"/>
          <w:lang w:val="it-IT"/>
        </w:rPr>
        <w:t>EAC</w:t>
      </w:r>
      <w:r w:rsidRPr="00840299">
        <w:rPr>
          <w:sz w:val="20"/>
          <w:szCs w:val="20"/>
          <w:lang w:val="it-IT"/>
        </w:rPr>
        <w:tab/>
        <w:t>Europejska Agenda Cyfrowa</w:t>
      </w:r>
    </w:p>
    <w:p w:rsidR="00503960" w:rsidRPr="00BB5A64" w:rsidRDefault="00503960" w:rsidP="00503960">
      <w:pPr>
        <w:shd w:val="clear" w:color="auto" w:fill="D9D9D9"/>
        <w:tabs>
          <w:tab w:val="left" w:pos="851"/>
          <w:tab w:val="left" w:pos="993"/>
        </w:tabs>
        <w:spacing w:after="0"/>
        <w:ind w:left="851" w:hanging="851"/>
        <w:rPr>
          <w:sz w:val="20"/>
          <w:szCs w:val="20"/>
        </w:rPr>
      </w:pPr>
      <w:r w:rsidRPr="00BB5A64">
        <w:rPr>
          <w:sz w:val="20"/>
          <w:szCs w:val="20"/>
        </w:rPr>
        <w:t>EFRR</w:t>
      </w:r>
      <w:r w:rsidRPr="00BB5A64">
        <w:rPr>
          <w:sz w:val="20"/>
          <w:szCs w:val="20"/>
        </w:rPr>
        <w:tab/>
        <w:t>Europejski Fundusz Rozwoju Regionalnego</w:t>
      </w:r>
    </w:p>
    <w:p w:rsidR="00503960" w:rsidRPr="00BB5A64" w:rsidRDefault="00503960" w:rsidP="00BB5A64">
      <w:pPr>
        <w:tabs>
          <w:tab w:val="left" w:pos="851"/>
          <w:tab w:val="left" w:pos="993"/>
        </w:tabs>
        <w:spacing w:after="0"/>
        <w:ind w:left="851" w:hanging="851"/>
        <w:rPr>
          <w:sz w:val="20"/>
          <w:szCs w:val="20"/>
        </w:rPr>
      </w:pPr>
      <w:r w:rsidRPr="00BB5A64">
        <w:rPr>
          <w:sz w:val="20"/>
          <w:szCs w:val="20"/>
        </w:rPr>
        <w:t>EFS</w:t>
      </w:r>
      <w:r w:rsidRPr="00BB5A64">
        <w:rPr>
          <w:sz w:val="20"/>
          <w:szCs w:val="20"/>
        </w:rPr>
        <w:tab/>
        <w:t>Europejski Fundusz Społeczny</w:t>
      </w:r>
    </w:p>
    <w:p w:rsidR="00503960" w:rsidRPr="00840299" w:rsidRDefault="00503960" w:rsidP="00503960">
      <w:pPr>
        <w:shd w:val="clear" w:color="auto" w:fill="D9D9D9"/>
        <w:tabs>
          <w:tab w:val="left" w:pos="851"/>
          <w:tab w:val="left" w:pos="993"/>
        </w:tabs>
        <w:spacing w:after="0"/>
        <w:ind w:left="851" w:hanging="851"/>
        <w:rPr>
          <w:sz w:val="20"/>
          <w:szCs w:val="20"/>
          <w:lang w:val="fr-FR"/>
        </w:rPr>
      </w:pPr>
      <w:r w:rsidRPr="00840299">
        <w:rPr>
          <w:sz w:val="20"/>
          <w:szCs w:val="20"/>
          <w:lang w:val="fr-FR"/>
        </w:rPr>
        <w:t>ICT</w:t>
      </w:r>
      <w:r w:rsidRPr="00840299">
        <w:rPr>
          <w:sz w:val="20"/>
          <w:szCs w:val="20"/>
          <w:lang w:val="fr-FR"/>
        </w:rPr>
        <w:tab/>
        <w:t>Information and Communication Technologies (ang) – Technologie Informacyjno –Komunikacyjne</w:t>
      </w:r>
    </w:p>
    <w:p w:rsidR="00503960" w:rsidRPr="00BB5A64" w:rsidRDefault="00503960" w:rsidP="00BB5A64">
      <w:pPr>
        <w:tabs>
          <w:tab w:val="left" w:pos="851"/>
          <w:tab w:val="left" w:pos="993"/>
        </w:tabs>
        <w:spacing w:after="0"/>
        <w:ind w:left="851" w:hanging="851"/>
        <w:rPr>
          <w:sz w:val="20"/>
          <w:szCs w:val="20"/>
        </w:rPr>
      </w:pPr>
      <w:r w:rsidRPr="00BB5A64">
        <w:rPr>
          <w:sz w:val="20"/>
          <w:szCs w:val="20"/>
        </w:rPr>
        <w:t>IZ</w:t>
      </w:r>
      <w:r w:rsidRPr="00BB5A64">
        <w:rPr>
          <w:sz w:val="20"/>
          <w:szCs w:val="20"/>
        </w:rPr>
        <w:tab/>
        <w:t>Instytucja Zarządzająca</w:t>
      </w:r>
    </w:p>
    <w:p w:rsidR="00503960" w:rsidRPr="00BB5A64" w:rsidRDefault="00503960" w:rsidP="00503960">
      <w:pPr>
        <w:shd w:val="clear" w:color="auto" w:fill="D9D9D9"/>
        <w:tabs>
          <w:tab w:val="left" w:pos="851"/>
          <w:tab w:val="left" w:pos="993"/>
        </w:tabs>
        <w:spacing w:after="0"/>
        <w:ind w:left="851" w:hanging="851"/>
        <w:rPr>
          <w:sz w:val="20"/>
          <w:szCs w:val="20"/>
        </w:rPr>
      </w:pPr>
      <w:r w:rsidRPr="00BB5A64">
        <w:rPr>
          <w:sz w:val="20"/>
          <w:szCs w:val="20"/>
        </w:rPr>
        <w:t xml:space="preserve">KE </w:t>
      </w:r>
      <w:r w:rsidRPr="00BB5A64">
        <w:rPr>
          <w:sz w:val="20"/>
          <w:szCs w:val="20"/>
        </w:rPr>
        <w:tab/>
        <w:t>Komisja Europejska</w:t>
      </w:r>
    </w:p>
    <w:p w:rsidR="00503960" w:rsidRPr="00BB5A64" w:rsidRDefault="00503960" w:rsidP="00BB5A64">
      <w:pPr>
        <w:tabs>
          <w:tab w:val="left" w:pos="851"/>
          <w:tab w:val="left" w:pos="993"/>
        </w:tabs>
        <w:spacing w:after="0"/>
        <w:ind w:left="851" w:hanging="851"/>
        <w:rPr>
          <w:sz w:val="20"/>
          <w:szCs w:val="20"/>
        </w:rPr>
      </w:pPr>
      <w:r w:rsidRPr="00BB5A64">
        <w:rPr>
          <w:sz w:val="20"/>
          <w:szCs w:val="20"/>
        </w:rPr>
        <w:t>KEW</w:t>
      </w:r>
      <w:r w:rsidRPr="00BB5A64">
        <w:rPr>
          <w:sz w:val="20"/>
          <w:szCs w:val="20"/>
        </w:rPr>
        <w:tab/>
        <w:t>Kluczowy Etap Wdrażania</w:t>
      </w:r>
    </w:p>
    <w:p w:rsidR="00503960" w:rsidRPr="00BB5A64" w:rsidRDefault="00503960" w:rsidP="00503960">
      <w:pPr>
        <w:shd w:val="clear" w:color="auto" w:fill="D9D9D9"/>
        <w:tabs>
          <w:tab w:val="left" w:pos="851"/>
          <w:tab w:val="left" w:pos="993"/>
        </w:tabs>
        <w:spacing w:after="0"/>
        <w:ind w:left="851" w:hanging="851"/>
        <w:rPr>
          <w:sz w:val="20"/>
          <w:szCs w:val="20"/>
        </w:rPr>
      </w:pPr>
      <w:r w:rsidRPr="00BB5A64">
        <w:rPr>
          <w:sz w:val="20"/>
          <w:szCs w:val="20"/>
        </w:rPr>
        <w:t>KIKE</w:t>
      </w:r>
      <w:r w:rsidRPr="00BB5A64">
        <w:rPr>
          <w:sz w:val="20"/>
          <w:szCs w:val="20"/>
        </w:rPr>
        <w:tab/>
        <w:t xml:space="preserve">Krajowa Izba Komunikacji </w:t>
      </w:r>
      <w:proofErr w:type="spellStart"/>
      <w:r w:rsidRPr="00BB5A64">
        <w:rPr>
          <w:sz w:val="20"/>
          <w:szCs w:val="20"/>
        </w:rPr>
        <w:t>Ethernetowej</w:t>
      </w:r>
      <w:proofErr w:type="spellEnd"/>
    </w:p>
    <w:p w:rsidR="00503960" w:rsidRPr="00BB5A64" w:rsidRDefault="00503960" w:rsidP="00BB5A64">
      <w:pPr>
        <w:tabs>
          <w:tab w:val="left" w:pos="851"/>
          <w:tab w:val="left" w:pos="993"/>
        </w:tabs>
        <w:spacing w:after="0"/>
        <w:ind w:left="851" w:hanging="851"/>
        <w:rPr>
          <w:sz w:val="20"/>
          <w:szCs w:val="20"/>
        </w:rPr>
      </w:pPr>
      <w:r w:rsidRPr="00BB5A64">
        <w:rPr>
          <w:sz w:val="20"/>
          <w:szCs w:val="20"/>
        </w:rPr>
        <w:t>KRMC</w:t>
      </w:r>
      <w:r w:rsidRPr="00BB5A64">
        <w:rPr>
          <w:sz w:val="20"/>
          <w:szCs w:val="20"/>
        </w:rPr>
        <w:tab/>
        <w:t>Komitet Rady Ministrów do spraw Cyfryzacji</w:t>
      </w:r>
    </w:p>
    <w:p w:rsidR="00503960" w:rsidRPr="00BB5A64" w:rsidRDefault="00503960" w:rsidP="00503960">
      <w:pPr>
        <w:shd w:val="clear" w:color="auto" w:fill="D9D9D9"/>
        <w:tabs>
          <w:tab w:val="left" w:pos="851"/>
          <w:tab w:val="left" w:pos="993"/>
        </w:tabs>
        <w:spacing w:after="0"/>
        <w:ind w:left="851" w:hanging="851"/>
        <w:rPr>
          <w:sz w:val="20"/>
          <w:szCs w:val="20"/>
        </w:rPr>
      </w:pPr>
      <w:r w:rsidRPr="00BB5A64">
        <w:rPr>
          <w:sz w:val="20"/>
          <w:szCs w:val="20"/>
        </w:rPr>
        <w:t>MAC</w:t>
      </w:r>
      <w:r w:rsidRPr="00BB5A64">
        <w:rPr>
          <w:sz w:val="20"/>
          <w:szCs w:val="20"/>
        </w:rPr>
        <w:tab/>
        <w:t>Ministerstwo Administracji i Cyfryzacji</w:t>
      </w:r>
    </w:p>
    <w:p w:rsidR="00503960" w:rsidRPr="00BB5A64" w:rsidRDefault="00503960" w:rsidP="00BB5A64">
      <w:pPr>
        <w:tabs>
          <w:tab w:val="left" w:pos="851"/>
          <w:tab w:val="left" w:pos="993"/>
        </w:tabs>
        <w:spacing w:after="0"/>
        <w:ind w:left="851" w:hanging="851"/>
        <w:rPr>
          <w:sz w:val="20"/>
          <w:szCs w:val="20"/>
        </w:rPr>
      </w:pPr>
      <w:proofErr w:type="spellStart"/>
      <w:r w:rsidRPr="00BB5A64">
        <w:rPr>
          <w:sz w:val="20"/>
          <w:szCs w:val="20"/>
        </w:rPr>
        <w:t>Mb</w:t>
      </w:r>
      <w:proofErr w:type="spellEnd"/>
      <w:r w:rsidRPr="00BB5A64">
        <w:rPr>
          <w:sz w:val="20"/>
          <w:szCs w:val="20"/>
        </w:rPr>
        <w:tab/>
        <w:t>Megabit</w:t>
      </w:r>
    </w:p>
    <w:p w:rsidR="00503960" w:rsidRPr="00BB5A64" w:rsidRDefault="00503960" w:rsidP="00503960">
      <w:pPr>
        <w:shd w:val="clear" w:color="auto" w:fill="D9D9D9"/>
        <w:tabs>
          <w:tab w:val="left" w:pos="851"/>
          <w:tab w:val="left" w:pos="993"/>
        </w:tabs>
        <w:spacing w:after="0"/>
        <w:ind w:left="851" w:hanging="851"/>
        <w:rPr>
          <w:sz w:val="20"/>
          <w:szCs w:val="20"/>
        </w:rPr>
      </w:pPr>
      <w:r>
        <w:rPr>
          <w:sz w:val="20"/>
          <w:szCs w:val="20"/>
        </w:rPr>
        <w:t>MIR</w:t>
      </w:r>
      <w:r>
        <w:rPr>
          <w:sz w:val="20"/>
          <w:szCs w:val="20"/>
        </w:rPr>
        <w:tab/>
        <w:t>Ministerstwo Infrastruktury i Rozwoju</w:t>
      </w:r>
    </w:p>
    <w:p w:rsidR="00503960" w:rsidRPr="00BB5A64" w:rsidRDefault="00503960" w:rsidP="00DD4FC8">
      <w:pPr>
        <w:tabs>
          <w:tab w:val="left" w:pos="851"/>
          <w:tab w:val="left" w:pos="993"/>
        </w:tabs>
        <w:spacing w:after="0"/>
        <w:ind w:left="851" w:hanging="851"/>
        <w:rPr>
          <w:sz w:val="20"/>
          <w:szCs w:val="20"/>
        </w:rPr>
      </w:pPr>
      <w:r w:rsidRPr="00BB5A64">
        <w:rPr>
          <w:sz w:val="20"/>
          <w:szCs w:val="20"/>
        </w:rPr>
        <w:t>MOOC</w:t>
      </w:r>
      <w:r w:rsidRPr="00BB5A64">
        <w:rPr>
          <w:sz w:val="20"/>
          <w:szCs w:val="20"/>
        </w:rPr>
        <w:tab/>
      </w:r>
      <w:proofErr w:type="spellStart"/>
      <w:r w:rsidRPr="00BB5A64">
        <w:rPr>
          <w:sz w:val="20"/>
          <w:szCs w:val="20"/>
        </w:rPr>
        <w:t>Massive</w:t>
      </w:r>
      <w:proofErr w:type="spellEnd"/>
      <w:r w:rsidRPr="00BB5A64">
        <w:rPr>
          <w:sz w:val="20"/>
          <w:szCs w:val="20"/>
        </w:rPr>
        <w:t xml:space="preserve"> open online </w:t>
      </w:r>
      <w:proofErr w:type="spellStart"/>
      <w:r w:rsidRPr="00BB5A64">
        <w:rPr>
          <w:sz w:val="20"/>
          <w:szCs w:val="20"/>
        </w:rPr>
        <w:t>course</w:t>
      </w:r>
      <w:proofErr w:type="spellEnd"/>
      <w:r w:rsidRPr="00BB5A64">
        <w:rPr>
          <w:sz w:val="20"/>
          <w:szCs w:val="20"/>
        </w:rPr>
        <w:t xml:space="preserve"> (ang.) - </w:t>
      </w:r>
      <w:proofErr w:type="spellStart"/>
      <w:r>
        <w:rPr>
          <w:sz w:val="20"/>
          <w:szCs w:val="20"/>
        </w:rPr>
        <w:t>M</w:t>
      </w:r>
      <w:r w:rsidRPr="00BB5A64" w:rsidDel="00AF48D8">
        <w:rPr>
          <w:sz w:val="20"/>
          <w:szCs w:val="20"/>
        </w:rPr>
        <w:t>m</w:t>
      </w:r>
      <w:r w:rsidRPr="00BB5A64">
        <w:rPr>
          <w:sz w:val="20"/>
          <w:szCs w:val="20"/>
        </w:rPr>
        <w:t>asowe</w:t>
      </w:r>
      <w:proofErr w:type="spellEnd"/>
      <w:r w:rsidRPr="00BB5A64">
        <w:rPr>
          <w:sz w:val="20"/>
          <w:szCs w:val="20"/>
        </w:rPr>
        <w:t xml:space="preserve"> otwarte kursy online</w:t>
      </w:r>
    </w:p>
    <w:p w:rsidR="00503960" w:rsidRPr="00BB5A64" w:rsidRDefault="00503960" w:rsidP="00DD4FC8">
      <w:pPr>
        <w:shd w:val="clear" w:color="auto" w:fill="D9D9D9"/>
        <w:tabs>
          <w:tab w:val="left" w:pos="851"/>
          <w:tab w:val="left" w:pos="993"/>
        </w:tabs>
        <w:spacing w:after="0"/>
        <w:ind w:left="851" w:hanging="851"/>
        <w:rPr>
          <w:sz w:val="20"/>
          <w:szCs w:val="20"/>
        </w:rPr>
      </w:pPr>
      <w:r w:rsidRPr="00BB5A64">
        <w:rPr>
          <w:sz w:val="20"/>
          <w:szCs w:val="20"/>
        </w:rPr>
        <w:t>NGO</w:t>
      </w:r>
      <w:r w:rsidRPr="00BB5A64">
        <w:rPr>
          <w:sz w:val="20"/>
          <w:szCs w:val="20"/>
        </w:rPr>
        <w:tab/>
        <w:t xml:space="preserve">Non </w:t>
      </w:r>
      <w:proofErr w:type="spellStart"/>
      <w:r w:rsidRPr="00BB5A64">
        <w:rPr>
          <w:sz w:val="20"/>
          <w:szCs w:val="20"/>
        </w:rPr>
        <w:t>Government</w:t>
      </w:r>
      <w:proofErr w:type="spellEnd"/>
      <w:r w:rsidRPr="00BB5A64">
        <w:rPr>
          <w:sz w:val="20"/>
          <w:szCs w:val="20"/>
        </w:rPr>
        <w:t xml:space="preserve"> Organization (ang.) - Organizacje pozarządowe</w:t>
      </w:r>
    </w:p>
    <w:p w:rsidR="00503960" w:rsidRPr="00BB5A64" w:rsidRDefault="00503960" w:rsidP="00DD4FC8">
      <w:pPr>
        <w:tabs>
          <w:tab w:val="left" w:pos="851"/>
          <w:tab w:val="left" w:pos="993"/>
        </w:tabs>
        <w:spacing w:after="0"/>
        <w:ind w:left="851" w:hanging="851"/>
        <w:rPr>
          <w:sz w:val="20"/>
          <w:szCs w:val="20"/>
        </w:rPr>
      </w:pPr>
      <w:r w:rsidRPr="00BB5A64">
        <w:rPr>
          <w:sz w:val="20"/>
          <w:szCs w:val="20"/>
        </w:rPr>
        <w:t>PIAP</w:t>
      </w:r>
      <w:r w:rsidRPr="00BB5A64">
        <w:rPr>
          <w:sz w:val="20"/>
          <w:szCs w:val="20"/>
        </w:rPr>
        <w:tab/>
        <w:t>Publiczny Punkt Dostępu do Internetu</w:t>
      </w:r>
    </w:p>
    <w:p w:rsidR="00503960" w:rsidRPr="00BB5A64" w:rsidRDefault="00503960" w:rsidP="00DD4FC8">
      <w:pPr>
        <w:shd w:val="clear" w:color="auto" w:fill="D9D9D9"/>
        <w:tabs>
          <w:tab w:val="left" w:pos="851"/>
          <w:tab w:val="left" w:pos="993"/>
        </w:tabs>
        <w:spacing w:after="0"/>
        <w:ind w:left="851" w:hanging="851"/>
        <w:rPr>
          <w:sz w:val="20"/>
          <w:szCs w:val="20"/>
        </w:rPr>
      </w:pPr>
      <w:r w:rsidRPr="00BB5A64">
        <w:rPr>
          <w:sz w:val="20"/>
          <w:szCs w:val="20"/>
        </w:rPr>
        <w:t>PO</w:t>
      </w:r>
      <w:r w:rsidRPr="00BB5A64">
        <w:rPr>
          <w:sz w:val="20"/>
          <w:szCs w:val="20"/>
        </w:rPr>
        <w:tab/>
        <w:t>Program Operacyjny</w:t>
      </w:r>
    </w:p>
    <w:p w:rsidR="00503960" w:rsidRPr="00BB5A64" w:rsidRDefault="00503960" w:rsidP="00DD4FC8">
      <w:pPr>
        <w:tabs>
          <w:tab w:val="left" w:pos="851"/>
          <w:tab w:val="left" w:pos="993"/>
        </w:tabs>
        <w:spacing w:after="0"/>
        <w:ind w:left="851" w:hanging="851"/>
        <w:rPr>
          <w:sz w:val="20"/>
          <w:szCs w:val="20"/>
        </w:rPr>
      </w:pPr>
      <w:r w:rsidRPr="00BB5A64">
        <w:rPr>
          <w:sz w:val="20"/>
          <w:szCs w:val="20"/>
        </w:rPr>
        <w:t>POIG</w:t>
      </w:r>
      <w:r w:rsidRPr="00BB5A64">
        <w:rPr>
          <w:sz w:val="20"/>
          <w:szCs w:val="20"/>
        </w:rPr>
        <w:tab/>
        <w:t>Program Operacyjny Innowacyjna Gospodarka</w:t>
      </w:r>
    </w:p>
    <w:p w:rsidR="00503960" w:rsidRPr="00BB5A64" w:rsidRDefault="00503960" w:rsidP="00DD4FC8">
      <w:pPr>
        <w:shd w:val="clear" w:color="auto" w:fill="D9D9D9"/>
        <w:tabs>
          <w:tab w:val="left" w:pos="851"/>
          <w:tab w:val="left" w:pos="993"/>
        </w:tabs>
        <w:spacing w:after="0"/>
        <w:ind w:left="851" w:hanging="851"/>
        <w:rPr>
          <w:sz w:val="20"/>
          <w:szCs w:val="20"/>
        </w:rPr>
      </w:pPr>
      <w:r w:rsidRPr="00BB5A64">
        <w:rPr>
          <w:sz w:val="20"/>
          <w:szCs w:val="20"/>
        </w:rPr>
        <w:t>POPC</w:t>
      </w:r>
      <w:r w:rsidRPr="00BB5A64">
        <w:rPr>
          <w:sz w:val="20"/>
          <w:szCs w:val="20"/>
        </w:rPr>
        <w:tab/>
        <w:t>Program Operacyjny Polska Cyfrowa</w:t>
      </w:r>
    </w:p>
    <w:p w:rsidR="00503960" w:rsidRPr="00BB5A64" w:rsidRDefault="00503960" w:rsidP="00DD4FC8">
      <w:pPr>
        <w:tabs>
          <w:tab w:val="left" w:pos="851"/>
          <w:tab w:val="left" w:pos="993"/>
        </w:tabs>
        <w:spacing w:after="0"/>
        <w:ind w:left="851" w:hanging="851"/>
        <w:rPr>
          <w:sz w:val="20"/>
          <w:szCs w:val="20"/>
        </w:rPr>
      </w:pPr>
      <w:r w:rsidRPr="00BB5A64">
        <w:rPr>
          <w:sz w:val="20"/>
          <w:szCs w:val="20"/>
        </w:rPr>
        <w:t>POPW</w:t>
      </w:r>
      <w:r w:rsidRPr="00BB5A64">
        <w:rPr>
          <w:sz w:val="20"/>
          <w:szCs w:val="20"/>
        </w:rPr>
        <w:tab/>
        <w:t>Program Operacyjny Polska Wschodnia</w:t>
      </w:r>
    </w:p>
    <w:p w:rsidR="00503960" w:rsidRPr="00BB5A64" w:rsidRDefault="00503960" w:rsidP="00DD4FC8">
      <w:pPr>
        <w:shd w:val="clear" w:color="auto" w:fill="D9D9D9"/>
        <w:tabs>
          <w:tab w:val="left" w:pos="851"/>
          <w:tab w:val="left" w:pos="993"/>
        </w:tabs>
        <w:spacing w:after="0"/>
        <w:ind w:left="851" w:hanging="851"/>
        <w:rPr>
          <w:sz w:val="20"/>
          <w:szCs w:val="20"/>
        </w:rPr>
      </w:pPr>
      <w:r w:rsidRPr="00BB5A64">
        <w:rPr>
          <w:sz w:val="20"/>
          <w:szCs w:val="20"/>
        </w:rPr>
        <w:t>RPO</w:t>
      </w:r>
      <w:r w:rsidRPr="00BB5A64">
        <w:rPr>
          <w:sz w:val="20"/>
          <w:szCs w:val="20"/>
        </w:rPr>
        <w:tab/>
        <w:t>Regionalny Program Operacyjny</w:t>
      </w:r>
    </w:p>
    <w:p w:rsidR="00503960" w:rsidRPr="00BB5A64" w:rsidRDefault="00503960" w:rsidP="00DD4FC8">
      <w:pPr>
        <w:tabs>
          <w:tab w:val="left" w:pos="851"/>
          <w:tab w:val="left" w:pos="993"/>
        </w:tabs>
        <w:spacing w:after="0"/>
        <w:ind w:left="851" w:hanging="851"/>
        <w:rPr>
          <w:sz w:val="20"/>
          <w:szCs w:val="20"/>
        </w:rPr>
      </w:pPr>
      <w:r w:rsidRPr="00BB5A64">
        <w:rPr>
          <w:sz w:val="20"/>
          <w:szCs w:val="20"/>
        </w:rPr>
        <w:t xml:space="preserve">UE </w:t>
      </w:r>
      <w:r w:rsidRPr="00BB5A64">
        <w:rPr>
          <w:sz w:val="20"/>
          <w:szCs w:val="20"/>
        </w:rPr>
        <w:tab/>
        <w:t>Unia Europejska</w:t>
      </w:r>
    </w:p>
    <w:p w:rsidR="00503960" w:rsidRPr="00BB5A64" w:rsidRDefault="00503960" w:rsidP="00DD4FC8">
      <w:pPr>
        <w:shd w:val="clear" w:color="auto" w:fill="D9D9D9"/>
        <w:tabs>
          <w:tab w:val="left" w:pos="851"/>
          <w:tab w:val="left" w:pos="993"/>
        </w:tabs>
        <w:spacing w:after="0"/>
        <w:ind w:left="851" w:hanging="851"/>
        <w:rPr>
          <w:sz w:val="20"/>
          <w:szCs w:val="20"/>
        </w:rPr>
      </w:pPr>
      <w:r w:rsidRPr="00BB5A64">
        <w:rPr>
          <w:sz w:val="20"/>
          <w:szCs w:val="20"/>
        </w:rPr>
        <w:t>UKE</w:t>
      </w:r>
      <w:r w:rsidRPr="00BB5A64">
        <w:rPr>
          <w:sz w:val="20"/>
          <w:szCs w:val="20"/>
        </w:rPr>
        <w:tab/>
        <w:t>Urząd Komunikacji Elektronicznej</w:t>
      </w:r>
    </w:p>
    <w:p w:rsidR="00503960" w:rsidRPr="00BB5A64" w:rsidRDefault="00503960" w:rsidP="00DD4FC8">
      <w:pPr>
        <w:tabs>
          <w:tab w:val="left" w:pos="851"/>
          <w:tab w:val="left" w:pos="993"/>
        </w:tabs>
        <w:spacing w:after="0"/>
        <w:ind w:left="851" w:hanging="851"/>
        <w:rPr>
          <w:sz w:val="20"/>
          <w:szCs w:val="20"/>
        </w:rPr>
      </w:pPr>
      <w:r w:rsidRPr="00BB5A64">
        <w:rPr>
          <w:sz w:val="20"/>
          <w:szCs w:val="20"/>
        </w:rPr>
        <w:t>UP</w:t>
      </w:r>
      <w:r w:rsidRPr="00BB5A64">
        <w:rPr>
          <w:sz w:val="20"/>
          <w:szCs w:val="20"/>
        </w:rPr>
        <w:tab/>
        <w:t>Umowa Partnerstwa</w:t>
      </w:r>
    </w:p>
    <w:p w:rsidR="00503960" w:rsidRPr="00BB5A64" w:rsidRDefault="00503960" w:rsidP="00DD4FC8">
      <w:pPr>
        <w:shd w:val="clear" w:color="auto" w:fill="D9D9D9"/>
        <w:tabs>
          <w:tab w:val="left" w:pos="851"/>
          <w:tab w:val="left" w:pos="993"/>
        </w:tabs>
        <w:spacing w:after="0"/>
        <w:ind w:left="851" w:hanging="851"/>
        <w:rPr>
          <w:sz w:val="20"/>
          <w:szCs w:val="20"/>
        </w:rPr>
      </w:pPr>
      <w:r w:rsidRPr="00BB5A64">
        <w:rPr>
          <w:sz w:val="20"/>
          <w:szCs w:val="20"/>
        </w:rPr>
        <w:t>WLWK</w:t>
      </w:r>
      <w:r w:rsidRPr="00BB5A64">
        <w:rPr>
          <w:sz w:val="20"/>
          <w:szCs w:val="20"/>
        </w:rPr>
        <w:tab/>
        <w:t>Wspólna Lista Wskaźników Kluczowych</w:t>
      </w:r>
    </w:p>
    <w:p w:rsidR="00F10E33" w:rsidRDefault="00F10E33" w:rsidP="00BB5A64">
      <w:pPr>
        <w:tabs>
          <w:tab w:val="left" w:pos="993"/>
        </w:tabs>
        <w:spacing w:after="0"/>
        <w:ind w:left="851" w:hanging="851"/>
      </w:pPr>
    </w:p>
    <w:p w:rsidR="00F10E33" w:rsidRDefault="00F10E33" w:rsidP="00BB5A64">
      <w:pPr>
        <w:tabs>
          <w:tab w:val="left" w:pos="993"/>
        </w:tabs>
        <w:spacing w:after="0"/>
        <w:ind w:left="851" w:hanging="851"/>
      </w:pPr>
    </w:p>
    <w:sectPr w:rsidR="00F10E33" w:rsidSect="00435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EB" w:rsidRDefault="00CC6AEB" w:rsidP="00AC3726">
      <w:pPr>
        <w:spacing w:after="0" w:line="240" w:lineRule="auto"/>
      </w:pPr>
      <w:r>
        <w:separator/>
      </w:r>
    </w:p>
  </w:endnote>
  <w:endnote w:type="continuationSeparator" w:id="0">
    <w:p w:rsidR="00CC6AEB" w:rsidRDefault="00CC6AEB" w:rsidP="00AC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Default="00CC6A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Pr="00DD7E68" w:rsidRDefault="00CC6AEB">
    <w:pPr>
      <w:pStyle w:val="Stopka"/>
      <w:jc w:val="center"/>
      <w:rPr>
        <w:rFonts w:ascii="Calibri" w:hAnsi="Calibri" w:cs="Calibri"/>
        <w:sz w:val="20"/>
        <w:szCs w:val="20"/>
      </w:rPr>
    </w:pPr>
    <w:r w:rsidRPr="00DD7E68">
      <w:rPr>
        <w:rFonts w:ascii="Calibri" w:hAnsi="Calibri" w:cs="Calibri"/>
        <w:sz w:val="20"/>
        <w:szCs w:val="20"/>
      </w:rPr>
      <w:fldChar w:fldCharType="begin"/>
    </w:r>
    <w:r w:rsidRPr="00DD7E68">
      <w:rPr>
        <w:rFonts w:ascii="Calibri" w:hAnsi="Calibri" w:cs="Calibri"/>
        <w:sz w:val="20"/>
        <w:szCs w:val="20"/>
      </w:rPr>
      <w:instrText>PAGE   \* MERGEFORMAT</w:instrText>
    </w:r>
    <w:r w:rsidRPr="00DD7E68">
      <w:rPr>
        <w:rFonts w:ascii="Calibri" w:hAnsi="Calibri" w:cs="Calibri"/>
        <w:sz w:val="20"/>
        <w:szCs w:val="20"/>
      </w:rPr>
      <w:fldChar w:fldCharType="separate"/>
    </w:r>
    <w:r w:rsidR="00050B55">
      <w:rPr>
        <w:rFonts w:ascii="Calibri" w:hAnsi="Calibri" w:cs="Calibri"/>
        <w:noProof/>
        <w:sz w:val="20"/>
        <w:szCs w:val="20"/>
      </w:rPr>
      <w:t>1</w:t>
    </w:r>
    <w:r w:rsidRPr="00DD7E68">
      <w:rPr>
        <w:rFonts w:ascii="Calibri" w:hAnsi="Calibri" w:cs="Calibri"/>
        <w:sz w:val="20"/>
        <w:szCs w:val="20"/>
      </w:rPr>
      <w:fldChar w:fldCharType="end"/>
    </w:r>
  </w:p>
  <w:p w:rsidR="00CC6AEB" w:rsidRDefault="00CC6A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Default="00CC6AE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Default="00CC6AEB">
    <w:pPr>
      <w:pStyle w:val="Stopka"/>
      <w:jc w:val="right"/>
    </w:pPr>
    <w:r>
      <w:fldChar w:fldCharType="begin"/>
    </w:r>
    <w:r>
      <w:instrText xml:space="preserve"> PAGE </w:instrText>
    </w:r>
    <w:r>
      <w:fldChar w:fldCharType="separate"/>
    </w:r>
    <w:r w:rsidR="00050B55">
      <w:rPr>
        <w:noProof/>
      </w:rPr>
      <w:t>27</w:t>
    </w:r>
    <w:r>
      <w:fldChar w:fldCharType="end"/>
    </w:r>
  </w:p>
  <w:p w:rsidR="00CC6AEB" w:rsidRDefault="00CC6AE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Pr="00DD7E68" w:rsidRDefault="00CC6AEB">
    <w:pPr>
      <w:pStyle w:val="Stopka"/>
      <w:jc w:val="center"/>
      <w:rPr>
        <w:rFonts w:ascii="Calibri" w:hAnsi="Calibri" w:cs="Calibri"/>
        <w:sz w:val="20"/>
        <w:szCs w:val="20"/>
      </w:rPr>
    </w:pPr>
    <w:r w:rsidRPr="00DD7E68">
      <w:rPr>
        <w:rFonts w:ascii="Calibri" w:hAnsi="Calibri" w:cs="Calibri"/>
        <w:sz w:val="20"/>
        <w:szCs w:val="20"/>
      </w:rPr>
      <w:fldChar w:fldCharType="begin"/>
    </w:r>
    <w:r w:rsidRPr="00DD7E68">
      <w:rPr>
        <w:rFonts w:ascii="Calibri" w:hAnsi="Calibri" w:cs="Calibri"/>
        <w:sz w:val="20"/>
        <w:szCs w:val="20"/>
      </w:rPr>
      <w:instrText>PAGE   \* MERGEFORMAT</w:instrText>
    </w:r>
    <w:r w:rsidRPr="00DD7E68">
      <w:rPr>
        <w:rFonts w:ascii="Calibri" w:hAnsi="Calibri" w:cs="Calibri"/>
        <w:sz w:val="20"/>
        <w:szCs w:val="20"/>
      </w:rPr>
      <w:fldChar w:fldCharType="separate"/>
    </w:r>
    <w:r w:rsidR="00050B55">
      <w:rPr>
        <w:rFonts w:ascii="Calibri" w:hAnsi="Calibri" w:cs="Calibri"/>
        <w:noProof/>
        <w:sz w:val="20"/>
        <w:szCs w:val="20"/>
      </w:rPr>
      <w:t>37</w:t>
    </w:r>
    <w:r w:rsidRPr="00DD7E68">
      <w:rPr>
        <w:rFonts w:ascii="Calibri" w:hAnsi="Calibri" w:cs="Calibri"/>
        <w:sz w:val="20"/>
        <w:szCs w:val="20"/>
      </w:rPr>
      <w:fldChar w:fldCharType="end"/>
    </w:r>
  </w:p>
  <w:p w:rsidR="00CC6AEB" w:rsidRDefault="00CC6AEB">
    <w:pPr>
      <w:pStyle w:val="Stopka"/>
    </w:pPr>
  </w:p>
  <w:p w:rsidR="00CC6AEB" w:rsidRDefault="00CC6A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EB" w:rsidRDefault="00CC6AEB" w:rsidP="00AC3726">
      <w:pPr>
        <w:spacing w:after="0" w:line="240" w:lineRule="auto"/>
      </w:pPr>
      <w:r>
        <w:separator/>
      </w:r>
    </w:p>
  </w:footnote>
  <w:footnote w:type="continuationSeparator" w:id="0">
    <w:p w:rsidR="00CC6AEB" w:rsidRDefault="00CC6AEB" w:rsidP="00AC3726">
      <w:pPr>
        <w:spacing w:after="0" w:line="240" w:lineRule="auto"/>
      </w:pPr>
      <w:r>
        <w:continuationSeparator/>
      </w:r>
    </w:p>
  </w:footnote>
  <w:footnote w:id="1">
    <w:p w:rsidR="00CC6AEB" w:rsidRPr="00621AB0" w:rsidRDefault="00CC6AEB" w:rsidP="003D74A6">
      <w:pPr>
        <w:pStyle w:val="Tekstprzypisudolnego"/>
        <w:jc w:val="both"/>
        <w:rPr>
          <w:rFonts w:ascii="Calibri" w:hAnsi="Calibri" w:cs="Calibri"/>
          <w:sz w:val="16"/>
          <w:szCs w:val="16"/>
        </w:rPr>
      </w:pPr>
      <w:r w:rsidRPr="00B346A5">
        <w:rPr>
          <w:rStyle w:val="Odwoanieprzypisudolnego"/>
          <w:rFonts w:ascii="Calibri" w:hAnsi="Calibri" w:cs="Calibri"/>
          <w:sz w:val="18"/>
          <w:szCs w:val="18"/>
        </w:rPr>
        <w:footnoteRef/>
      </w:r>
      <w:r w:rsidRPr="00B346A5">
        <w:rPr>
          <w:rFonts w:ascii="Calibri" w:hAnsi="Calibri" w:cs="Calibri"/>
          <w:sz w:val="18"/>
          <w:szCs w:val="18"/>
        </w:rPr>
        <w:t xml:space="preserve"> </w:t>
      </w:r>
      <w:r w:rsidRPr="00621AB0">
        <w:rPr>
          <w:rFonts w:ascii="Calibri" w:hAnsi="Calibri" w:cs="Calibri"/>
          <w:sz w:val="16"/>
          <w:szCs w:val="16"/>
        </w:rPr>
        <w:t>W celu zachowania przejrzystości dokumentu, w uzasadnionych przypadkach możliwe jest zamieszczenie wspólnego opisu odnoszącego się do grup wskaźników, np. wszystkich wskaźników realizowanych na poziomie danej osi priorytetowej.</w:t>
      </w:r>
    </w:p>
  </w:footnote>
  <w:footnote w:id="2">
    <w:p w:rsidR="00CC6AEB" w:rsidRPr="00621AB0" w:rsidRDefault="00CC6AEB" w:rsidP="0043575D">
      <w:pPr>
        <w:pStyle w:val="Tekstprzypisudolnego"/>
        <w:jc w:val="both"/>
        <w:rPr>
          <w:rFonts w:ascii="Calibri" w:hAnsi="Calibri" w:cs="Calibri"/>
          <w:sz w:val="16"/>
          <w:szCs w:val="16"/>
        </w:rPr>
      </w:pPr>
      <w:r w:rsidRPr="00621AB0">
        <w:rPr>
          <w:rStyle w:val="Odwoanieprzypisudolnego"/>
          <w:rFonts w:ascii="Calibri" w:hAnsi="Calibri" w:cs="Calibri"/>
          <w:sz w:val="16"/>
          <w:szCs w:val="16"/>
        </w:rPr>
        <w:footnoteRef/>
      </w:r>
      <w:r w:rsidRPr="00621AB0">
        <w:rPr>
          <w:rFonts w:ascii="Calibri" w:hAnsi="Calibri" w:cs="Calibri"/>
          <w:sz w:val="16"/>
          <w:szCs w:val="16"/>
        </w:rPr>
        <w:t xml:space="preserve"> Cel końcowy może być zaprezentowany, jeśli może to mieć zastosowanie do danego wskaźnika, wartością łączna (kobiety + mężczyźni) lub w podziale na płeć. Dla EFRR oraz FS w większości przypadków podział wg płci nie będzie mieć zastosowania. </w:t>
      </w:r>
    </w:p>
  </w:footnote>
  <w:footnote w:id="3">
    <w:p w:rsidR="00CC6AEB" w:rsidRDefault="00CC6AEB" w:rsidP="0043575D">
      <w:pPr>
        <w:pStyle w:val="Tekstprzypisudolnego"/>
        <w:jc w:val="both"/>
      </w:pPr>
      <w:r w:rsidRPr="00621AB0">
        <w:rPr>
          <w:rStyle w:val="Odwoanieprzypisudolnego"/>
          <w:rFonts w:ascii="Calibri" w:hAnsi="Calibri" w:cs="Calibri"/>
          <w:sz w:val="16"/>
          <w:szCs w:val="16"/>
        </w:rPr>
        <w:footnoteRef/>
      </w:r>
      <w:r w:rsidRPr="00621AB0">
        <w:rPr>
          <w:rFonts w:ascii="Calibri" w:hAnsi="Calibri" w:cs="Calibri"/>
          <w:sz w:val="16"/>
          <w:szCs w:val="16"/>
        </w:rPr>
        <w:t xml:space="preserve"> Wskaźniki muszą obrazować większość alokacji na daną oś priorytetową w podziale na fundusze, kat. regionów w przypadku EFRR i EFS (większość alokacji z każdego danego funduszu dla każdej danej kategorii regionów).</w:t>
      </w:r>
      <w:r w:rsidRPr="00A760A2">
        <w:rPr>
          <w:szCs w:val="16"/>
        </w:rPr>
        <w:t xml:space="preserve"> </w:t>
      </w:r>
    </w:p>
  </w:footnote>
  <w:footnote w:id="4">
    <w:p w:rsidR="00CC6AEB" w:rsidRPr="00DD7E68" w:rsidRDefault="00CC6AEB">
      <w:pPr>
        <w:pStyle w:val="Tekstprzypisudolnego"/>
        <w:rPr>
          <w:lang w:val="pl-PL"/>
        </w:rPr>
      </w:pPr>
      <w:r w:rsidRPr="00DD7E68">
        <w:rPr>
          <w:rStyle w:val="Odwoanieprzypisudolnego"/>
          <w:rFonts w:ascii="Calibri" w:hAnsi="Calibri" w:cs="Calibri"/>
          <w:sz w:val="16"/>
          <w:szCs w:val="16"/>
        </w:rPr>
        <w:footnoteRef/>
      </w:r>
      <w:r>
        <w:t xml:space="preserve"> </w:t>
      </w:r>
      <w:r w:rsidRPr="00DD7E68">
        <w:rPr>
          <w:rFonts w:ascii="Calibri" w:hAnsi="Calibri" w:cs="Calibri"/>
          <w:sz w:val="16"/>
          <w:szCs w:val="16"/>
        </w:rPr>
        <w:t>Wskaźnik finansowy dotyczy całkowitej kwoty wydatków kwalifikowalnych, wprowadzonych do systemu rachunkowości instytucji certyfikującej i certyfikowanych.</w:t>
      </w:r>
    </w:p>
  </w:footnote>
  <w:footnote w:id="5">
    <w:p w:rsidR="00CC6AEB" w:rsidRPr="008F209B" w:rsidRDefault="00CC6AEB" w:rsidP="00663896">
      <w:pPr>
        <w:pStyle w:val="Tekstprzypisudolnego"/>
        <w:rPr>
          <w:szCs w:val="16"/>
        </w:rPr>
      </w:pPr>
      <w:r w:rsidRPr="00DD7E68">
        <w:rPr>
          <w:rStyle w:val="Odwoanieprzypisudolnego"/>
          <w:sz w:val="16"/>
          <w:szCs w:val="16"/>
        </w:rPr>
        <w:footnoteRef/>
      </w:r>
      <w:r w:rsidRPr="008F209B">
        <w:rPr>
          <w:szCs w:val="16"/>
        </w:rPr>
        <w:t xml:space="preserve"> </w:t>
      </w:r>
      <w:r w:rsidRPr="00DD7E68">
        <w:rPr>
          <w:rFonts w:ascii="Calibri" w:hAnsi="Calibri" w:cs="Calibri"/>
          <w:sz w:val="16"/>
          <w:szCs w:val="16"/>
        </w:rPr>
        <w:t>Dodatkowe gospoda</w:t>
      </w:r>
      <w:r w:rsidRPr="00387706">
        <w:rPr>
          <w:rFonts w:ascii="Calibri" w:hAnsi="Calibri" w:cs="Calibri"/>
          <w:sz w:val="16"/>
          <w:szCs w:val="16"/>
        </w:rPr>
        <w:t xml:space="preserve">rstwa objęte dostępem do sieci </w:t>
      </w:r>
      <w:r>
        <w:rPr>
          <w:rFonts w:ascii="Calibri" w:hAnsi="Calibri" w:cs="Calibri"/>
          <w:sz w:val="16"/>
          <w:szCs w:val="16"/>
          <w:lang w:val="pl-PL"/>
        </w:rPr>
        <w:t>I</w:t>
      </w:r>
      <w:proofErr w:type="spellStart"/>
      <w:r w:rsidRPr="00DD7E68">
        <w:rPr>
          <w:rFonts w:ascii="Calibri" w:hAnsi="Calibri" w:cs="Calibri"/>
          <w:sz w:val="16"/>
          <w:szCs w:val="16"/>
        </w:rPr>
        <w:t>nternet</w:t>
      </w:r>
      <w:proofErr w:type="spellEnd"/>
      <w:r w:rsidRPr="00DD7E68">
        <w:rPr>
          <w:rFonts w:ascii="Calibri" w:hAnsi="Calibri" w:cs="Calibri"/>
          <w:sz w:val="16"/>
          <w:szCs w:val="16"/>
        </w:rPr>
        <w:t xml:space="preserve"> o przepustowości, co najmniej 100 </w:t>
      </w:r>
      <w:proofErr w:type="spellStart"/>
      <w:r w:rsidRPr="00DD7E68">
        <w:rPr>
          <w:rFonts w:ascii="Calibri" w:hAnsi="Calibri" w:cs="Calibri"/>
          <w:sz w:val="16"/>
          <w:szCs w:val="16"/>
        </w:rPr>
        <w:t>Mb</w:t>
      </w:r>
      <w:proofErr w:type="spellEnd"/>
      <w:r w:rsidRPr="00DD7E68">
        <w:rPr>
          <w:rFonts w:ascii="Calibri" w:hAnsi="Calibri" w:cs="Calibri"/>
          <w:sz w:val="16"/>
          <w:szCs w:val="16"/>
        </w:rPr>
        <w:t xml:space="preserve">/s oraz Dodatkowe gospodarstwa objęte dostępem do sieci </w:t>
      </w:r>
      <w:r>
        <w:rPr>
          <w:rFonts w:ascii="Calibri" w:hAnsi="Calibri" w:cs="Calibri"/>
          <w:sz w:val="16"/>
          <w:szCs w:val="16"/>
          <w:lang w:val="pl-PL"/>
        </w:rPr>
        <w:t>I</w:t>
      </w:r>
      <w:proofErr w:type="spellStart"/>
      <w:r w:rsidRPr="00DD7E68">
        <w:rPr>
          <w:rFonts w:ascii="Calibri" w:hAnsi="Calibri" w:cs="Calibri"/>
          <w:sz w:val="16"/>
          <w:szCs w:val="16"/>
        </w:rPr>
        <w:t>nternet</w:t>
      </w:r>
      <w:proofErr w:type="spellEnd"/>
      <w:r w:rsidRPr="00DD7E68">
        <w:rPr>
          <w:rFonts w:ascii="Calibri" w:hAnsi="Calibri" w:cs="Calibri"/>
          <w:sz w:val="16"/>
          <w:szCs w:val="16"/>
        </w:rPr>
        <w:t xml:space="preserve"> o </w:t>
      </w:r>
      <w:proofErr w:type="spellStart"/>
      <w:r w:rsidRPr="00DD7E68">
        <w:rPr>
          <w:rFonts w:ascii="Calibri" w:hAnsi="Calibri" w:cs="Calibri"/>
          <w:sz w:val="16"/>
          <w:szCs w:val="16"/>
        </w:rPr>
        <w:t>przepustowo</w:t>
      </w:r>
      <w:r>
        <w:rPr>
          <w:rFonts w:ascii="Calibri" w:hAnsi="Calibri" w:cs="Calibri"/>
          <w:sz w:val="16"/>
          <w:szCs w:val="16"/>
          <w:lang w:val="pl-PL"/>
        </w:rPr>
        <w:t>ś</w:t>
      </w:r>
      <w:proofErr w:type="spellEnd"/>
      <w:r w:rsidRPr="00DD7E68">
        <w:rPr>
          <w:rFonts w:ascii="Calibri" w:hAnsi="Calibri" w:cs="Calibri"/>
          <w:sz w:val="16"/>
          <w:szCs w:val="16"/>
        </w:rPr>
        <w:t xml:space="preserve">ci poniżej 30 </w:t>
      </w:r>
      <w:proofErr w:type="spellStart"/>
      <w:r w:rsidRPr="00DD7E68">
        <w:rPr>
          <w:rFonts w:ascii="Calibri" w:hAnsi="Calibri" w:cs="Calibri"/>
          <w:sz w:val="16"/>
          <w:szCs w:val="16"/>
        </w:rPr>
        <w:t>Mb</w:t>
      </w:r>
      <w:proofErr w:type="spellEnd"/>
      <w:r w:rsidRPr="00DD7E68">
        <w:rPr>
          <w:rFonts w:ascii="Calibri" w:hAnsi="Calibri" w:cs="Calibri"/>
          <w:sz w:val="16"/>
          <w:szCs w:val="16"/>
        </w:rPr>
        <w:t>/s.</w:t>
      </w:r>
    </w:p>
  </w:footnote>
  <w:footnote w:id="6">
    <w:p w:rsidR="00CC6AEB" w:rsidRPr="005C2A44" w:rsidRDefault="00CC6AEB" w:rsidP="0043575D">
      <w:pPr>
        <w:pStyle w:val="Tekstprzypisudolnego"/>
        <w:jc w:val="both"/>
        <w:rPr>
          <w:lang w:val="pl-PL"/>
        </w:rPr>
      </w:pPr>
      <w:r w:rsidRPr="008F209B">
        <w:rPr>
          <w:rStyle w:val="Odwoanieprzypisudolnego"/>
          <w:sz w:val="16"/>
          <w:szCs w:val="16"/>
        </w:rPr>
        <w:footnoteRef/>
      </w:r>
      <w:r w:rsidRPr="008F209B">
        <w:rPr>
          <w:sz w:val="16"/>
          <w:szCs w:val="16"/>
        </w:rPr>
        <w:t xml:space="preserve"> </w:t>
      </w:r>
      <w:r w:rsidRPr="00C70E1D">
        <w:rPr>
          <w:rFonts w:ascii="Calibri" w:hAnsi="Calibri" w:cs="Calibri"/>
          <w:sz w:val="16"/>
          <w:szCs w:val="16"/>
        </w:rPr>
        <w:t xml:space="preserve">Heller K., Rutkowski P., Koszałka M., Średniawa M., Taraska J., Batorski D. </w:t>
      </w:r>
      <w:r w:rsidRPr="00C70E1D">
        <w:rPr>
          <w:rFonts w:ascii="Calibri" w:hAnsi="Calibri" w:cs="Calibri"/>
          <w:i/>
          <w:sz w:val="16"/>
          <w:szCs w:val="16"/>
        </w:rPr>
        <w:t>Estymacja dotycząca budowy infrastruktury telekomunikacyjnej zapewniającej szerokopasmowy dostęp do Internetu, spełniającej wymagania Europejskiej Agendy Cyfrowej (EAC) w Polsce do roku 2020 na podstawie aktualnego stanu rozwoju infrastruktury telekomunikacyjnej: Obszary, koszty, technologie i najbardziej efektywne sposoby interwencji publicznej</w:t>
      </w:r>
      <w:r w:rsidRPr="00C70E1D">
        <w:rPr>
          <w:rFonts w:ascii="Calibri" w:hAnsi="Calibri" w:cs="Calibri"/>
          <w:sz w:val="16"/>
          <w:szCs w:val="16"/>
        </w:rPr>
        <w:t>,</w:t>
      </w:r>
      <w:r>
        <w:rPr>
          <w:rFonts w:ascii="Calibri" w:hAnsi="Calibri" w:cs="Calibri"/>
          <w:sz w:val="16"/>
          <w:szCs w:val="16"/>
          <w:lang w:val="pl-PL"/>
        </w:rPr>
        <w:t xml:space="preserve"> Warszawa 2013.</w:t>
      </w:r>
    </w:p>
  </w:footnote>
  <w:footnote w:id="7">
    <w:p w:rsidR="00CC6AEB" w:rsidRPr="00DD7E68" w:rsidRDefault="00CC6AEB" w:rsidP="00DD7E68">
      <w:pPr>
        <w:autoSpaceDE w:val="0"/>
        <w:autoSpaceDN w:val="0"/>
        <w:adjustRightInd w:val="0"/>
        <w:spacing w:after="0" w:line="240" w:lineRule="auto"/>
        <w:jc w:val="both"/>
        <w:rPr>
          <w:rFonts w:eastAsia="Times New Roman" w:cs="Calibri"/>
          <w:sz w:val="16"/>
          <w:szCs w:val="16"/>
          <w:lang w:val="x-none" w:eastAsia="x-none"/>
        </w:rPr>
      </w:pPr>
      <w:r w:rsidRPr="00DD7E68">
        <w:rPr>
          <w:rStyle w:val="Odwoanieprzypisudolnego"/>
          <w:rFonts w:eastAsia="Times New Roman" w:cs="Calibri"/>
          <w:sz w:val="20"/>
          <w:szCs w:val="20"/>
          <w:lang w:val="x-none" w:eastAsia="x-none"/>
        </w:rPr>
        <w:footnoteRef/>
      </w:r>
      <w:r>
        <w:t xml:space="preserve"> </w:t>
      </w:r>
      <w:proofErr w:type="spellStart"/>
      <w:r w:rsidRPr="00DD7E68">
        <w:rPr>
          <w:rFonts w:eastAsia="Times New Roman" w:cs="Calibri"/>
          <w:sz w:val="16"/>
          <w:szCs w:val="16"/>
          <w:lang w:val="x-none" w:eastAsia="x-none"/>
        </w:rPr>
        <w:t>Wiąckiewicz</w:t>
      </w:r>
      <w:proofErr w:type="spellEnd"/>
      <w:r w:rsidRPr="00DD7E68">
        <w:rPr>
          <w:rFonts w:eastAsia="Times New Roman" w:cs="Calibri"/>
          <w:sz w:val="16"/>
          <w:szCs w:val="16"/>
          <w:lang w:val="x-none" w:eastAsia="x-none"/>
        </w:rPr>
        <w:t xml:space="preserve"> P., Marciniak P., Stachyra R., </w:t>
      </w:r>
      <w:r w:rsidRPr="00655C9F">
        <w:rPr>
          <w:rFonts w:eastAsia="Times New Roman" w:cs="Calibri"/>
          <w:sz w:val="16"/>
          <w:szCs w:val="16"/>
          <w:lang w:val="x-none" w:eastAsia="x-none"/>
        </w:rPr>
        <w:t>Raport KIKE</w:t>
      </w:r>
      <w:r w:rsidRPr="00DD7E68">
        <w:rPr>
          <w:rFonts w:eastAsia="Times New Roman" w:cs="Calibri"/>
          <w:sz w:val="16"/>
          <w:szCs w:val="16"/>
          <w:lang w:val="x-none" w:eastAsia="x-none"/>
        </w:rPr>
        <w:t xml:space="preserve"> Projekty szer</w:t>
      </w:r>
      <w:r w:rsidRPr="00655C9F">
        <w:rPr>
          <w:rFonts w:eastAsia="Times New Roman" w:cs="Calibri"/>
          <w:sz w:val="16"/>
          <w:szCs w:val="16"/>
          <w:lang w:val="x-none" w:eastAsia="x-none"/>
        </w:rPr>
        <w:t>okopasmowe z dofinansowaniem UE</w:t>
      </w:r>
      <w:r w:rsidRPr="00DD7E68">
        <w:rPr>
          <w:rFonts w:eastAsia="Times New Roman" w:cs="Calibri"/>
          <w:sz w:val="16"/>
          <w:szCs w:val="16"/>
          <w:lang w:val="x-none" w:eastAsia="x-none"/>
        </w:rPr>
        <w:t xml:space="preserve"> Doświadczenia perspektywy 2007-2013 i rekomendacje do PO PC, Łódź 2014</w:t>
      </w:r>
    </w:p>
  </w:footnote>
  <w:footnote w:id="8">
    <w:p w:rsidR="00CC6AEB" w:rsidRPr="00CA5319" w:rsidRDefault="00CC6AEB" w:rsidP="0043575D">
      <w:pPr>
        <w:pStyle w:val="Tekstprzypisudolnego"/>
        <w:rPr>
          <w:rFonts w:ascii="Calibri" w:hAnsi="Calibri" w:cs="Calibri"/>
        </w:rPr>
      </w:pPr>
      <w:r w:rsidRPr="00CA5319">
        <w:rPr>
          <w:rStyle w:val="Odwoanieprzypisudolnego"/>
          <w:rFonts w:ascii="Calibri" w:hAnsi="Calibri" w:cs="Calibri"/>
        </w:rPr>
        <w:footnoteRef/>
      </w:r>
      <w:r w:rsidRPr="00CA5319">
        <w:rPr>
          <w:rFonts w:ascii="Calibri" w:hAnsi="Calibri" w:cs="Calibri"/>
        </w:rPr>
        <w:t xml:space="preserve"> </w:t>
      </w:r>
      <w:r w:rsidRPr="00CA5319">
        <w:rPr>
          <w:rFonts w:ascii="Calibri" w:hAnsi="Calibri" w:cs="Calibri"/>
          <w:sz w:val="16"/>
          <w:szCs w:val="16"/>
        </w:rPr>
        <w:t>W ramach Osi Priorytetowej 1 nie przewiduje się dofinansowania z krajowych środków publicznych.</w:t>
      </w:r>
    </w:p>
  </w:footnote>
  <w:footnote w:id="9">
    <w:p w:rsidR="00CC6AEB" w:rsidRPr="00CA5319" w:rsidRDefault="00CC6AEB" w:rsidP="00227FE0">
      <w:pPr>
        <w:pStyle w:val="Tytu"/>
        <w:rPr>
          <w:rFonts w:ascii="Calibri" w:hAnsi="Calibri" w:cs="Calibri"/>
          <w:b/>
        </w:rPr>
      </w:pPr>
      <w:r w:rsidRPr="00CA5319">
        <w:rPr>
          <w:rStyle w:val="Odwoanieprzypisudolnego"/>
          <w:rFonts w:ascii="Calibri" w:hAnsi="Calibri" w:cs="Calibri"/>
          <w:spacing w:val="0"/>
          <w:kern w:val="0"/>
          <w:sz w:val="20"/>
          <w:szCs w:val="20"/>
          <w:lang w:val="x-none" w:eastAsia="x-none"/>
        </w:rPr>
        <w:footnoteRef/>
      </w:r>
      <w:r w:rsidRPr="00CA5319">
        <w:rPr>
          <w:rFonts w:ascii="Calibri" w:hAnsi="Calibri" w:cs="Calibri"/>
          <w:spacing w:val="0"/>
          <w:kern w:val="0"/>
          <w:sz w:val="16"/>
          <w:szCs w:val="16"/>
          <w:lang w:val="x-none" w:eastAsia="x-none"/>
        </w:rPr>
        <w:t xml:space="preserve"> </w:t>
      </w:r>
      <w:r>
        <w:rPr>
          <w:rFonts w:ascii="Calibri" w:hAnsi="Calibri" w:cs="Calibri"/>
          <w:spacing w:val="0"/>
          <w:kern w:val="0"/>
          <w:sz w:val="16"/>
          <w:szCs w:val="16"/>
          <w:lang w:eastAsia="x-none"/>
        </w:rPr>
        <w:t xml:space="preserve">Badanie </w:t>
      </w:r>
      <w:proofErr w:type="spellStart"/>
      <w:r>
        <w:rPr>
          <w:rFonts w:ascii="Calibri" w:hAnsi="Calibri" w:cs="Calibri"/>
          <w:spacing w:val="0"/>
          <w:kern w:val="0"/>
          <w:sz w:val="16"/>
          <w:szCs w:val="16"/>
          <w:lang w:eastAsia="x-none"/>
        </w:rPr>
        <w:t>Imapp</w:t>
      </w:r>
      <w:proofErr w:type="spellEnd"/>
      <w:r>
        <w:rPr>
          <w:rFonts w:ascii="Calibri" w:hAnsi="Calibri" w:cs="Calibri"/>
          <w:spacing w:val="0"/>
          <w:kern w:val="0"/>
          <w:sz w:val="16"/>
          <w:szCs w:val="16"/>
          <w:lang w:eastAsia="x-none"/>
        </w:rPr>
        <w:t xml:space="preserve"> sp. z o.o.</w:t>
      </w:r>
      <w:r w:rsidRPr="00CA5319">
        <w:rPr>
          <w:rFonts w:ascii="Calibri" w:hAnsi="Calibri" w:cs="Calibri"/>
          <w:spacing w:val="0"/>
          <w:kern w:val="0"/>
          <w:sz w:val="16"/>
          <w:szCs w:val="16"/>
          <w:lang w:eastAsia="x-none"/>
        </w:rPr>
        <w:t>:</w:t>
      </w:r>
      <w:r w:rsidRPr="00CA5319">
        <w:rPr>
          <w:rFonts w:ascii="Calibri" w:hAnsi="Calibri" w:cs="Calibri"/>
          <w:spacing w:val="0"/>
          <w:kern w:val="0"/>
          <w:sz w:val="16"/>
          <w:szCs w:val="16"/>
          <w:lang w:val="x-none" w:eastAsia="x-none"/>
        </w:rPr>
        <w:t xml:space="preserve"> </w:t>
      </w:r>
      <w:r w:rsidRPr="00CA5319">
        <w:rPr>
          <w:rFonts w:ascii="Calibri" w:hAnsi="Calibri" w:cs="Calibri"/>
          <w:spacing w:val="0"/>
          <w:kern w:val="0"/>
          <w:sz w:val="16"/>
          <w:szCs w:val="16"/>
          <w:lang w:eastAsia="x-none"/>
        </w:rPr>
        <w:t>„</w:t>
      </w:r>
      <w:r>
        <w:rPr>
          <w:rFonts w:ascii="Calibri" w:hAnsi="Calibri" w:cs="Calibri"/>
          <w:spacing w:val="0"/>
          <w:kern w:val="0"/>
          <w:sz w:val="16"/>
          <w:szCs w:val="16"/>
          <w:lang w:eastAsia="x-none"/>
        </w:rPr>
        <w:t>Analiza trafności oraz spójności systemu ram wykonania dla Umowy Partnerstwa i programów operacyjnych na lata 2014-2020</w:t>
      </w:r>
      <w:r w:rsidRPr="00CA5319">
        <w:rPr>
          <w:rFonts w:ascii="Calibri" w:hAnsi="Calibri" w:cs="Calibri"/>
          <w:spacing w:val="0"/>
          <w:kern w:val="0"/>
          <w:sz w:val="16"/>
          <w:szCs w:val="16"/>
          <w:lang w:eastAsia="x-none"/>
        </w:rPr>
        <w:t>”</w:t>
      </w:r>
    </w:p>
  </w:footnote>
  <w:footnote w:id="10">
    <w:p w:rsidR="00CC6AEB" w:rsidRPr="00227FE0" w:rsidRDefault="00CC6AEB">
      <w:pPr>
        <w:pStyle w:val="Tekstprzypisudolnego"/>
        <w:rPr>
          <w:lang w:val="pl-PL"/>
        </w:rPr>
      </w:pPr>
      <w:r w:rsidRPr="00CA5319">
        <w:rPr>
          <w:rStyle w:val="Odwoanieprzypisudolnego"/>
          <w:rFonts w:ascii="Calibri" w:hAnsi="Calibri" w:cs="Calibri"/>
        </w:rPr>
        <w:footnoteRef/>
      </w:r>
      <w:r w:rsidRPr="00CA5319">
        <w:rPr>
          <w:rFonts w:ascii="Calibri" w:hAnsi="Calibri" w:cs="Calibri"/>
        </w:rPr>
        <w:t xml:space="preserve"> </w:t>
      </w:r>
      <w:r w:rsidRPr="00CA5319">
        <w:rPr>
          <w:rFonts w:ascii="Calibri" w:hAnsi="Calibri" w:cs="Calibri"/>
          <w:sz w:val="16"/>
          <w:szCs w:val="16"/>
        </w:rPr>
        <w:t>Średnia ważona indeksów prognozowanych cen</w:t>
      </w:r>
      <w:r>
        <w:rPr>
          <w:rFonts w:ascii="Calibri" w:hAnsi="Calibri" w:cs="Calibri"/>
          <w:sz w:val="16"/>
          <w:szCs w:val="16"/>
          <w:lang w:val="pl-PL"/>
        </w:rPr>
        <w:t xml:space="preserve"> (wskaźnik cen produkcji budowlano-montażowej - WCPBM)</w:t>
      </w:r>
      <w:r w:rsidRPr="00CA5319">
        <w:rPr>
          <w:rFonts w:ascii="Calibri" w:hAnsi="Calibri" w:cs="Calibri"/>
          <w:sz w:val="16"/>
          <w:szCs w:val="16"/>
        </w:rPr>
        <w:t xml:space="preserve"> w latach 2014-2023 dla roku bazowego 2014 na poziomie 11</w:t>
      </w:r>
      <w:r>
        <w:rPr>
          <w:rFonts w:ascii="Calibri" w:hAnsi="Calibri" w:cs="Calibri"/>
          <w:sz w:val="16"/>
          <w:szCs w:val="16"/>
          <w:lang w:val="pl-PL"/>
        </w:rPr>
        <w:t>0</w:t>
      </w:r>
      <w:r w:rsidRPr="00CA5319">
        <w:rPr>
          <w:rFonts w:ascii="Calibri" w:hAnsi="Calibri" w:cs="Calibri"/>
          <w:sz w:val="16"/>
          <w:szCs w:val="16"/>
        </w:rPr>
        <w:t>,</w:t>
      </w:r>
      <w:r>
        <w:rPr>
          <w:rFonts w:ascii="Calibri" w:hAnsi="Calibri" w:cs="Calibri"/>
          <w:sz w:val="16"/>
          <w:szCs w:val="16"/>
          <w:lang w:val="pl-PL"/>
        </w:rPr>
        <w:t>7</w:t>
      </w:r>
      <w:r w:rsidRPr="00CA5319">
        <w:rPr>
          <w:rFonts w:ascii="Calibri" w:hAnsi="Calibri" w:cs="Calibri"/>
          <w:sz w:val="16"/>
          <w:szCs w:val="16"/>
        </w:rPr>
        <w:t>%.</w:t>
      </w:r>
    </w:p>
  </w:footnote>
  <w:footnote w:id="11">
    <w:p w:rsidR="00CC6AEB" w:rsidRPr="00CA5319" w:rsidRDefault="00CC6AEB">
      <w:pPr>
        <w:pStyle w:val="Tekstprzypisudolnego"/>
        <w:rPr>
          <w:rFonts w:ascii="Calibri" w:hAnsi="Calibri" w:cs="Calibri"/>
          <w:sz w:val="16"/>
          <w:szCs w:val="16"/>
          <w:lang w:val="pl-PL"/>
        </w:rPr>
      </w:pPr>
      <w:r w:rsidRPr="00621AB0">
        <w:rPr>
          <w:rStyle w:val="Odwoanieprzypisudolnego"/>
          <w:sz w:val="16"/>
          <w:szCs w:val="16"/>
        </w:rPr>
        <w:footnoteRef/>
      </w:r>
      <w:r w:rsidRPr="00621AB0">
        <w:rPr>
          <w:sz w:val="16"/>
          <w:szCs w:val="16"/>
        </w:rPr>
        <w:t xml:space="preserve"> </w:t>
      </w:r>
      <w:r w:rsidRPr="00CA5319">
        <w:rPr>
          <w:rFonts w:ascii="Calibri" w:hAnsi="Calibri" w:cs="Calibri"/>
          <w:sz w:val="16"/>
          <w:szCs w:val="16"/>
        </w:rPr>
        <w:t xml:space="preserve">wskaźnik finansowy </w:t>
      </w:r>
      <w:r w:rsidRPr="00DD7E68">
        <w:rPr>
          <w:rFonts w:ascii="Calibri" w:hAnsi="Calibri" w:cs="Calibri"/>
          <w:i/>
          <w:sz w:val="16"/>
          <w:szCs w:val="16"/>
        </w:rPr>
        <w:t>Całkowita kwota certyfikowanych wydatków kwalifikowalnych</w:t>
      </w:r>
      <w:r w:rsidRPr="00CA5319">
        <w:rPr>
          <w:rFonts w:ascii="Calibri" w:hAnsi="Calibri" w:cs="Calibri"/>
          <w:sz w:val="16"/>
          <w:szCs w:val="16"/>
        </w:rPr>
        <w:t xml:space="preserve"> określony do celów rezerwy wykonania. Zgodnie z m.in. rozporządzeniem ogólnym (art. 22 ust. 6) należy go traktować rozdzielnie ze wskaźnikami produktu i KEW.</w:t>
      </w:r>
    </w:p>
  </w:footnote>
  <w:footnote w:id="12">
    <w:p w:rsidR="00CC6AEB" w:rsidRPr="00621AB0" w:rsidRDefault="00CC6AEB" w:rsidP="00574ABB">
      <w:pPr>
        <w:autoSpaceDE w:val="0"/>
        <w:autoSpaceDN w:val="0"/>
        <w:adjustRightInd w:val="0"/>
        <w:spacing w:after="0" w:line="240" w:lineRule="auto"/>
        <w:rPr>
          <w:sz w:val="16"/>
          <w:szCs w:val="16"/>
        </w:rPr>
      </w:pPr>
      <w:r w:rsidRPr="00621AB0">
        <w:rPr>
          <w:rStyle w:val="Odwoanieprzypisudolnego"/>
          <w:sz w:val="16"/>
          <w:szCs w:val="16"/>
        </w:rPr>
        <w:footnoteRef/>
      </w:r>
      <w:r w:rsidRPr="00621AB0">
        <w:rPr>
          <w:sz w:val="16"/>
          <w:szCs w:val="16"/>
        </w:rPr>
        <w:t xml:space="preserve"> Wskaźniki określone w załączniku I na podstawie art. 6 rozporządzenia Parlamentu Europejskiego i Rady (UE) nr /2013 w sprawie Europejskiego Funduszu Rozwoju Regionalnego i przepisów szczególnych dotyczących celu „Inwestycje na rzecz wzrostu i zatrudnienia” oraz w sprawie uchylenia rozporządzenia (WE) nr 1080/2006. </w:t>
      </w:r>
    </w:p>
    <w:p w:rsidR="00CC6AEB" w:rsidRPr="00CD5255" w:rsidRDefault="00CC6AEB" w:rsidP="00574ABB">
      <w:pPr>
        <w:pStyle w:val="Tekstprzypisudolnego"/>
        <w:rPr>
          <w:lang w:val="pl-PL"/>
        </w:rPr>
      </w:pPr>
    </w:p>
  </w:footnote>
  <w:footnote w:id="13">
    <w:p w:rsidR="00CC6AEB" w:rsidRPr="00C70E1D" w:rsidRDefault="00CC6AEB" w:rsidP="0043575D">
      <w:pPr>
        <w:pStyle w:val="Tekstprzypisudolnego"/>
        <w:rPr>
          <w:rFonts w:ascii="Calibri" w:hAnsi="Calibri" w:cs="Calibri"/>
          <w:sz w:val="16"/>
          <w:szCs w:val="16"/>
        </w:rPr>
      </w:pPr>
      <w:r>
        <w:rPr>
          <w:rStyle w:val="Odwoanieprzypisudolnego"/>
        </w:rPr>
        <w:footnoteRef/>
      </w:r>
      <w:r>
        <w:t xml:space="preserve"> </w:t>
      </w:r>
      <w:r w:rsidRPr="00C70E1D">
        <w:rPr>
          <w:rFonts w:ascii="Calibri" w:hAnsi="Calibri" w:cs="Calibri"/>
          <w:sz w:val="16"/>
          <w:szCs w:val="16"/>
        </w:rPr>
        <w:t>Realizacja projektów związanych z dostępem odbiorców końcowych oraz osób zagrożonych wykluczeniem cyfrowym do szerokopasmowego Internetu - analiza stanu obecnego oraz barier w wykorzystaniu dostępnych środków unijnych. UKE, 2011.</w:t>
      </w:r>
    </w:p>
  </w:footnote>
  <w:footnote w:id="14">
    <w:p w:rsidR="00CC6AEB" w:rsidRPr="00621AB0" w:rsidRDefault="00CC6AEB" w:rsidP="00AC3726">
      <w:pPr>
        <w:pStyle w:val="Tekstprzypisudolnego"/>
        <w:jc w:val="both"/>
        <w:rPr>
          <w:rFonts w:ascii="Calibri" w:hAnsi="Calibri" w:cs="Calibri"/>
          <w:sz w:val="16"/>
          <w:szCs w:val="16"/>
        </w:rPr>
      </w:pPr>
      <w:r w:rsidRPr="00621AB0">
        <w:rPr>
          <w:rStyle w:val="Odwoanieprzypisudolnego"/>
          <w:rFonts w:ascii="Calibri" w:hAnsi="Calibri" w:cs="Calibri"/>
          <w:sz w:val="16"/>
          <w:szCs w:val="16"/>
        </w:rPr>
        <w:footnoteRef/>
      </w:r>
      <w:r w:rsidRPr="00621AB0">
        <w:rPr>
          <w:rFonts w:ascii="Calibri" w:hAnsi="Calibri" w:cs="Calibri"/>
          <w:sz w:val="16"/>
          <w:szCs w:val="16"/>
        </w:rPr>
        <w:t xml:space="preserve"> Cel końcowy może być zaprezentowany, jeśli może to mieć zastosowanie do danego wskaźnika, wartością łączna (kobiety + mężczyźni) lub w podziale na płeć. Dla EFRR oraz FS w większości przypadków podział wg płci nie będzie mieć zastosowania. </w:t>
      </w:r>
    </w:p>
  </w:footnote>
  <w:footnote w:id="15">
    <w:p w:rsidR="00CC6AEB" w:rsidRDefault="00CC6AEB" w:rsidP="00276080">
      <w:pPr>
        <w:pStyle w:val="Tekstprzypisudolnego"/>
      </w:pPr>
      <w:r w:rsidRPr="00621AB0">
        <w:rPr>
          <w:rStyle w:val="Odwoanieprzypisudolnego"/>
          <w:rFonts w:ascii="Calibri" w:hAnsi="Calibri" w:cs="Calibri"/>
          <w:sz w:val="16"/>
          <w:szCs w:val="16"/>
        </w:rPr>
        <w:footnoteRef/>
      </w:r>
      <w:r w:rsidRPr="00621AB0">
        <w:rPr>
          <w:rFonts w:ascii="Calibri" w:hAnsi="Calibri" w:cs="Calibri"/>
          <w:sz w:val="16"/>
          <w:szCs w:val="16"/>
        </w:rPr>
        <w:t xml:space="preserve"> Wskaźniki muszą obrazować większość alokacji na daną oś priorytetową w podziale na fundusze, kat. Regionów</w:t>
      </w:r>
      <w:r w:rsidRPr="00621AB0">
        <w:rPr>
          <w:rFonts w:ascii="Calibri" w:hAnsi="Calibri" w:cs="Calibri"/>
          <w:sz w:val="16"/>
          <w:szCs w:val="16"/>
          <w:lang w:val="pl-PL"/>
        </w:rPr>
        <w:t xml:space="preserve"> </w:t>
      </w:r>
      <w:r w:rsidRPr="00621AB0">
        <w:rPr>
          <w:rFonts w:ascii="Calibri" w:hAnsi="Calibri" w:cs="Calibri"/>
          <w:sz w:val="16"/>
          <w:szCs w:val="16"/>
        </w:rPr>
        <w:t>w przypadku EFRR i EFS (większość alokacji z każdego danego funduszu dla każdej danej kategorii regionów).</w:t>
      </w:r>
      <w:r w:rsidRPr="00A760A2">
        <w:rPr>
          <w:szCs w:val="16"/>
        </w:rPr>
        <w:t xml:space="preserve"> </w:t>
      </w:r>
    </w:p>
  </w:footnote>
  <w:footnote w:id="16">
    <w:p w:rsidR="00CC6AEB" w:rsidRPr="00DD7E68" w:rsidRDefault="00CC6AEB" w:rsidP="007428E9">
      <w:pPr>
        <w:pStyle w:val="Tekstprzypisudolnego"/>
        <w:rPr>
          <w:rFonts w:ascii="Calibri" w:hAnsi="Calibri" w:cs="Calibri"/>
          <w:sz w:val="16"/>
        </w:rPr>
      </w:pPr>
      <w:r>
        <w:rPr>
          <w:rStyle w:val="Odwoanieprzypisudolnego"/>
        </w:rPr>
        <w:footnoteRef/>
      </w:r>
      <w:r>
        <w:t xml:space="preserve"> </w:t>
      </w:r>
      <w:r w:rsidRPr="00DD7E68">
        <w:rPr>
          <w:rFonts w:ascii="Calibri" w:hAnsi="Calibri" w:cs="Calibri"/>
          <w:sz w:val="16"/>
        </w:rPr>
        <w:t>Urzędy administracji centralnej jest to określenie ogólne, które należy sprecyzować zgodnie z POPC. W skład tej grupy wchodzą zatem organy i urzędy administracji rządowej (w tym zespolonej i niezespolonej) oraz admini</w:t>
      </w:r>
      <w:r w:rsidRPr="007428E9">
        <w:rPr>
          <w:rFonts w:ascii="Calibri" w:hAnsi="Calibri" w:cs="Calibri"/>
          <w:sz w:val="16"/>
        </w:rPr>
        <w:t xml:space="preserve">stracji państwowej </w:t>
      </w:r>
      <w:r w:rsidRPr="00DD7E68">
        <w:rPr>
          <w:rFonts w:ascii="Calibri" w:hAnsi="Calibri" w:cs="Calibri"/>
          <w:sz w:val="16"/>
        </w:rPr>
        <w:t xml:space="preserve">(np. NIK oraz </w:t>
      </w:r>
      <w:proofErr w:type="spellStart"/>
      <w:r w:rsidRPr="00DD7E68">
        <w:rPr>
          <w:rFonts w:ascii="Calibri" w:hAnsi="Calibri" w:cs="Calibri"/>
          <w:sz w:val="16"/>
        </w:rPr>
        <w:t>KRRiTV</w:t>
      </w:r>
      <w:proofErr w:type="spellEnd"/>
      <w:r w:rsidRPr="00DD7E68">
        <w:rPr>
          <w:rFonts w:ascii="Calibri" w:hAnsi="Calibri" w:cs="Calibri"/>
          <w:sz w:val="16"/>
        </w:rPr>
        <w:t>).</w:t>
      </w:r>
    </w:p>
  </w:footnote>
  <w:footnote w:id="17">
    <w:p w:rsidR="00CC6AEB" w:rsidRPr="00597BF5" w:rsidRDefault="00CC6AEB">
      <w:pPr>
        <w:pStyle w:val="Tekstprzypisudolnego"/>
        <w:rPr>
          <w:lang w:val="pl-PL"/>
        </w:rPr>
      </w:pPr>
    </w:p>
  </w:footnote>
  <w:footnote w:id="18">
    <w:p w:rsidR="00CC6AEB" w:rsidRDefault="00CC6AEB" w:rsidP="00560461">
      <w:pPr>
        <w:pStyle w:val="Tekstprzypisudolnego"/>
        <w:jc w:val="both"/>
        <w:rPr>
          <w:sz w:val="16"/>
          <w:szCs w:val="16"/>
        </w:rPr>
      </w:pPr>
      <w:r>
        <w:rPr>
          <w:rStyle w:val="Znakiprzypiswdolnych"/>
        </w:rPr>
        <w:footnoteRef/>
      </w:r>
      <w:r>
        <w:rPr>
          <w:sz w:val="16"/>
          <w:szCs w:val="16"/>
        </w:rPr>
        <w:tab/>
        <w:t xml:space="preserve"> Cel końcowy może być zaprezentowany, jeśli może to mieć zastosowanie do danego wskaźnika, wartością łączna (kobiety + mężczyźni) lub w podziale na płeć. Dla EFRR oraz FS w większości przypadków podział wg płci nie będzie mieć zastosowania. </w:t>
      </w:r>
    </w:p>
  </w:footnote>
  <w:footnote w:id="19">
    <w:p w:rsidR="00CC6AEB" w:rsidRDefault="00CC6AEB" w:rsidP="00560461">
      <w:pPr>
        <w:pStyle w:val="Tekstprzypisudolnego"/>
        <w:jc w:val="both"/>
        <w:rPr>
          <w:szCs w:val="16"/>
        </w:rPr>
      </w:pPr>
      <w:r>
        <w:rPr>
          <w:rStyle w:val="Znakiprzypiswdolnych"/>
        </w:rPr>
        <w:footnoteRef/>
      </w:r>
      <w:r>
        <w:rPr>
          <w:sz w:val="16"/>
          <w:szCs w:val="16"/>
        </w:rPr>
        <w:tab/>
        <w:t xml:space="preserve"> Wskaźniki muszą obrazować większość alokacji na daną oś priorytetową w podziale na fundusze, kat. regionów w przypadku EFRR i EFS (większość alokacji z każdego danego funduszu dla każdej danej kategorii regionów).</w:t>
      </w:r>
      <w:r>
        <w:rPr>
          <w:szCs w:val="16"/>
        </w:rPr>
        <w:t xml:space="preserve"> </w:t>
      </w:r>
    </w:p>
  </w:footnote>
  <w:footnote w:id="20">
    <w:p w:rsidR="00CC6AEB" w:rsidRDefault="00CC6AEB" w:rsidP="00560461">
      <w:pPr>
        <w:pStyle w:val="Tekstprzypisudolnego"/>
        <w:rPr>
          <w:color w:val="000000"/>
          <w:sz w:val="16"/>
          <w:szCs w:val="16"/>
        </w:rPr>
      </w:pPr>
      <w:r w:rsidRPr="00A514B1">
        <w:rPr>
          <w:vertAlign w:val="superscript"/>
        </w:rPr>
        <w:footnoteRef/>
      </w:r>
      <w:r>
        <w:rPr>
          <w:color w:val="000000"/>
          <w:sz w:val="16"/>
          <w:szCs w:val="16"/>
        </w:rPr>
        <w:t xml:space="preserve"> M.in. Radło M., Ciesielska-</w:t>
      </w:r>
      <w:proofErr w:type="spellStart"/>
      <w:r>
        <w:rPr>
          <w:color w:val="000000"/>
          <w:sz w:val="16"/>
          <w:szCs w:val="16"/>
        </w:rPr>
        <w:t>Maciągowska</w:t>
      </w:r>
      <w:proofErr w:type="spellEnd"/>
      <w:r>
        <w:rPr>
          <w:color w:val="000000"/>
          <w:sz w:val="16"/>
          <w:szCs w:val="16"/>
        </w:rPr>
        <w:t xml:space="preserve"> D. Oszacowanie wartości docelowych wskaźników dla Programu Operacyjnego Polska Cyfrowa, s. 59 i n, Warszawa 2013; Przeprowadzenie inwentaryzacji publicznych punktów dostępu do </w:t>
      </w:r>
      <w:proofErr w:type="spellStart"/>
      <w:r>
        <w:rPr>
          <w:color w:val="000000"/>
          <w:sz w:val="16"/>
          <w:szCs w:val="16"/>
        </w:rPr>
        <w:t>internetu</w:t>
      </w:r>
      <w:proofErr w:type="spellEnd"/>
      <w:r>
        <w:rPr>
          <w:color w:val="000000"/>
          <w:sz w:val="16"/>
          <w:szCs w:val="16"/>
        </w:rPr>
        <w:t xml:space="preserve"> w Polsce, ITTI, Poznań 2012.</w:t>
      </w:r>
    </w:p>
  </w:footnote>
  <w:footnote w:id="21">
    <w:p w:rsidR="00CC6AEB" w:rsidRDefault="00CC6AEB" w:rsidP="00560461">
      <w:pPr>
        <w:pStyle w:val="Tekstprzypisudolnego"/>
        <w:rPr>
          <w:color w:val="000000"/>
          <w:sz w:val="16"/>
          <w:szCs w:val="16"/>
        </w:rPr>
      </w:pPr>
      <w:r w:rsidRPr="00A514B1">
        <w:rPr>
          <w:vertAlign w:val="superscript"/>
        </w:rPr>
        <w:footnoteRef/>
      </w:r>
      <w:r>
        <w:t xml:space="preserve"> </w:t>
      </w:r>
      <w:r>
        <w:rPr>
          <w:color w:val="000000"/>
          <w:sz w:val="16"/>
          <w:szCs w:val="16"/>
        </w:rPr>
        <w:t>M.in. Społeczeństwo informacyjne w Polsce. Wyniki badań statystycznych z lat 2007-2011, GUS, Warszawa, 2012; Wykluczenie cyfrowe na Mazowszu. Wyniki badań , IPIS, Warszawa 2011., Analiza trafności oraz spójności systemu ram wykonania dla Umowy Partnerstwa i programów operacyjnych na lata 2014-2020, IMMAP, Warszawa 2014.</w:t>
      </w:r>
    </w:p>
  </w:footnote>
  <w:footnote w:id="22">
    <w:p w:rsidR="00CC6AEB" w:rsidRDefault="00CC6AEB" w:rsidP="00560461">
      <w:pPr>
        <w:pStyle w:val="Tekstprzypisudolnego"/>
        <w:rPr>
          <w:color w:val="000000"/>
          <w:sz w:val="16"/>
          <w:szCs w:val="16"/>
        </w:rPr>
      </w:pPr>
      <w:r w:rsidRPr="00A514B1">
        <w:rPr>
          <w:vertAlign w:val="superscript"/>
        </w:rPr>
        <w:footnoteRef/>
      </w:r>
      <w:r>
        <w:t xml:space="preserve"> </w:t>
      </w:r>
      <w:r>
        <w:rPr>
          <w:color w:val="000000"/>
          <w:sz w:val="16"/>
          <w:szCs w:val="16"/>
        </w:rPr>
        <w:t xml:space="preserve">Wskaźnik cen towarów i usług konsumpcyjnych (CPI – Consumer </w:t>
      </w:r>
      <w:proofErr w:type="spellStart"/>
      <w:r>
        <w:rPr>
          <w:color w:val="000000"/>
          <w:sz w:val="16"/>
          <w:szCs w:val="16"/>
        </w:rPr>
        <w:t>Price</w:t>
      </w:r>
      <w:proofErr w:type="spellEnd"/>
      <w:r>
        <w:rPr>
          <w:color w:val="000000"/>
          <w:sz w:val="16"/>
          <w:szCs w:val="16"/>
        </w:rPr>
        <w:t xml:space="preserve"> Index) wynoszący 94,2%</w:t>
      </w:r>
    </w:p>
  </w:footnote>
  <w:footnote w:id="23">
    <w:p w:rsidR="00CC6AEB" w:rsidRDefault="00CC6AEB" w:rsidP="00560461">
      <w:pPr>
        <w:autoSpaceDE w:val="0"/>
        <w:spacing w:after="0" w:line="240" w:lineRule="auto"/>
        <w:rPr>
          <w:rFonts w:eastAsia="Times New Roman"/>
          <w:color w:val="000000"/>
          <w:sz w:val="16"/>
          <w:szCs w:val="16"/>
        </w:rPr>
      </w:pPr>
      <w:r w:rsidRPr="00A514B1">
        <w:rPr>
          <w:vertAlign w:val="superscript"/>
        </w:rPr>
        <w:footnoteRef/>
      </w:r>
      <w:r>
        <w:t xml:space="preserve"> </w:t>
      </w:r>
      <w:r>
        <w:rPr>
          <w:rFonts w:eastAsia="Times New Roman"/>
          <w:color w:val="000000"/>
          <w:sz w:val="16"/>
          <w:szCs w:val="16"/>
          <w:lang w:val="x-none"/>
        </w:rPr>
        <w:t>Wylicze</w:t>
      </w:r>
      <w:r>
        <w:rPr>
          <w:rFonts w:eastAsia="Times New Roman"/>
          <w:color w:val="000000"/>
          <w:sz w:val="16"/>
          <w:szCs w:val="16"/>
        </w:rPr>
        <w:t>ń</w:t>
      </w:r>
      <w:r>
        <w:rPr>
          <w:rFonts w:eastAsia="Times New Roman"/>
          <w:color w:val="000000"/>
          <w:sz w:val="16"/>
          <w:szCs w:val="16"/>
          <w:lang w:val="x-none"/>
        </w:rPr>
        <w:t xml:space="preserve"> dokonano </w:t>
      </w:r>
      <w:r>
        <w:rPr>
          <w:rFonts w:eastAsia="Times New Roman"/>
          <w:color w:val="000000"/>
          <w:sz w:val="16"/>
          <w:szCs w:val="16"/>
        </w:rPr>
        <w:t>zgodnie z</w:t>
      </w:r>
      <w:r>
        <w:rPr>
          <w:rFonts w:eastAsia="Times New Roman"/>
          <w:color w:val="000000"/>
          <w:sz w:val="16"/>
          <w:szCs w:val="16"/>
          <w:lang w:val="x-none"/>
        </w:rPr>
        <w:t xml:space="preserve"> wnioskami z badania pt.</w:t>
      </w:r>
      <w:r>
        <w:t xml:space="preserve"> </w:t>
      </w:r>
      <w:r>
        <w:rPr>
          <w:rFonts w:eastAsia="Times New Roman"/>
          <w:color w:val="000000"/>
          <w:sz w:val="16"/>
          <w:szCs w:val="16"/>
          <w:lang w:val="x-none"/>
        </w:rPr>
        <w:t>Analiza trafności oraz spójności systemu ram wykonania dla Umowy Partnerstwa i programów operacyjnych na lata 2014-2020</w:t>
      </w:r>
      <w:r>
        <w:rPr>
          <w:rFonts w:eastAsia="Times New Roman"/>
          <w:color w:val="000000"/>
          <w:sz w:val="16"/>
          <w:szCs w:val="16"/>
        </w:rPr>
        <w:t xml:space="preserve">, IMMAP, Warszawa 2014. </w:t>
      </w:r>
    </w:p>
    <w:p w:rsidR="00CC6AEB" w:rsidRDefault="00CC6AEB" w:rsidP="00560461">
      <w:pPr>
        <w:pStyle w:val="Tekstprzypisudolnego"/>
      </w:pPr>
    </w:p>
  </w:footnote>
  <w:footnote w:id="24">
    <w:p w:rsidR="00CC6AEB" w:rsidRDefault="00CC6AEB" w:rsidP="00560461">
      <w:pPr>
        <w:pStyle w:val="Tekstprzypisudolnego"/>
        <w:jc w:val="both"/>
      </w:pPr>
      <w:r w:rsidRPr="009D566A">
        <w:rPr>
          <w:vertAlign w:val="superscript"/>
        </w:rPr>
        <w:footnoteRef/>
      </w:r>
      <w:r>
        <w:t xml:space="preserve"> </w:t>
      </w:r>
      <w:r>
        <w:rPr>
          <w:sz w:val="16"/>
          <w:szCs w:val="16"/>
        </w:rPr>
        <w:t>Szkolenia podstawowe i ponadpodstawowe traktujemy jednoznacznie z niskimi i średnimi umiejętnościami internetowymi, są to terminy używane m.in. w publikacjach EUROSTAT, GUS oraz Społeczeństwo informacyjne w liczbach MAC, Warszawa, 2013</w:t>
      </w:r>
    </w:p>
  </w:footnote>
  <w:footnote w:id="25">
    <w:p w:rsidR="00CC6AEB" w:rsidRDefault="00CC6AEB" w:rsidP="00560461">
      <w:pPr>
        <w:pStyle w:val="Tekstprzypisudolnego"/>
        <w:rPr>
          <w:sz w:val="16"/>
          <w:szCs w:val="16"/>
        </w:rPr>
      </w:pPr>
      <w:r w:rsidRPr="009D566A">
        <w:rPr>
          <w:vertAlign w:val="superscript"/>
        </w:rPr>
        <w:footnoteRef/>
      </w:r>
      <w:r>
        <w:t xml:space="preserve"> </w:t>
      </w:r>
      <w:r>
        <w:rPr>
          <w:sz w:val="16"/>
          <w:szCs w:val="16"/>
        </w:rPr>
        <w:t>Konkurs MAC  na realizację zadania publicznego pod nazwą „Nowatorskie inicjatywy na rzecz rozwoju umiejętności programowania oraz budowania kapitału społecznego z wykorzystaniem technologii informacyjno-komunikacyjnych http://mac.bip.gov.pl/otwarte-konkursy-ofert/konkurs-na-realizacje-zadania-publicznego-pod-nazwa-nowatorskie-inicjatywy-na-rzecz-rozwoju-umiejetnosci-programowania.html.</w:t>
      </w:r>
    </w:p>
  </w:footnote>
  <w:footnote w:id="26">
    <w:p w:rsidR="00CC6AEB" w:rsidRPr="00A2554F" w:rsidRDefault="00CC6AEB" w:rsidP="00560461">
      <w:pPr>
        <w:pStyle w:val="Tekstprzypisudolnego"/>
        <w:rPr>
          <w:sz w:val="16"/>
        </w:rPr>
      </w:pPr>
      <w:r w:rsidRPr="009D566A">
        <w:rPr>
          <w:vertAlign w:val="superscript"/>
        </w:rPr>
        <w:footnoteRef/>
      </w:r>
      <w:r>
        <w:t xml:space="preserve"> </w:t>
      </w:r>
      <w:proofErr w:type="spellStart"/>
      <w:r w:rsidRPr="00A2554F">
        <w:rPr>
          <w:sz w:val="16"/>
        </w:rPr>
        <w:t>J.w</w:t>
      </w:r>
      <w:proofErr w:type="spellEnd"/>
      <w:r w:rsidRPr="00A2554F">
        <w:rPr>
          <w:sz w:val="16"/>
        </w:rPr>
        <w:t>.</w:t>
      </w:r>
    </w:p>
  </w:footnote>
  <w:footnote w:id="27">
    <w:p w:rsidR="00CC6AEB" w:rsidRPr="00943C80" w:rsidRDefault="00CC6AEB" w:rsidP="00560461">
      <w:pPr>
        <w:pStyle w:val="Tekstprzypisudolnego"/>
        <w:rPr>
          <w:rFonts w:cs="Calibri"/>
          <w:sz w:val="16"/>
          <w:szCs w:val="16"/>
        </w:rPr>
      </w:pPr>
      <w:r>
        <w:rPr>
          <w:rStyle w:val="Odwoanieprzypisudolnego"/>
        </w:rPr>
        <w:footnoteRef/>
      </w:r>
      <w:r>
        <w:t xml:space="preserve"> </w:t>
      </w:r>
      <w:r w:rsidRPr="00943C80">
        <w:rPr>
          <w:rFonts w:cs="Calibri"/>
          <w:sz w:val="16"/>
          <w:szCs w:val="16"/>
        </w:rPr>
        <w:t>http://mc.bip.gov.pl/otwarte-konkursy-ofert-archiwum/otwarty-konkurs-ofert-na-realizacje-w-2015-r-zadania-publicznego-z-zakresu-dzialan-na-rzecz-nauki-szkolnictwa-wyzszego-edukacji-oswiaty-i-wychowania.html</w:t>
      </w:r>
    </w:p>
  </w:footnote>
  <w:footnote w:id="28">
    <w:p w:rsidR="00CC6AEB" w:rsidRPr="00941821" w:rsidRDefault="00CC6AEB" w:rsidP="00560461">
      <w:pPr>
        <w:pStyle w:val="Tekstprzypisudolnego"/>
        <w:rPr>
          <w:lang w:val="en-US"/>
        </w:rPr>
      </w:pPr>
      <w:r>
        <w:rPr>
          <w:rStyle w:val="Odwoanieprzypisudolnego"/>
        </w:rPr>
        <w:footnoteRef/>
      </w:r>
      <w:r w:rsidRPr="00A2554F">
        <w:rPr>
          <w:lang w:val="en-GB"/>
        </w:rPr>
        <w:t xml:space="preserve"> </w:t>
      </w:r>
      <w:r w:rsidRPr="00A2554F">
        <w:rPr>
          <w:rFonts w:cs="Calibri"/>
          <w:sz w:val="16"/>
          <w:szCs w:val="16"/>
          <w:lang w:val="en-GB"/>
        </w:rPr>
        <w:t xml:space="preserve">milestone and target values for output indicators refer to </w:t>
      </w:r>
      <w:r w:rsidRPr="00A2554F">
        <w:rPr>
          <w:rFonts w:cs="Calibri"/>
          <w:b/>
          <w:sz w:val="16"/>
          <w:szCs w:val="16"/>
          <w:lang w:val="en-GB"/>
        </w:rPr>
        <w:t>fully implemented</w:t>
      </w:r>
      <w:r w:rsidRPr="00A2554F">
        <w:rPr>
          <w:rFonts w:cs="Calibri"/>
          <w:sz w:val="16"/>
          <w:szCs w:val="16"/>
          <w:lang w:val="en-GB"/>
        </w:rPr>
        <w:t xml:space="preserve"> operations (a fully implemented operation is an operation, in which actions leading to outputs have been implemented in full, </w:t>
      </w:r>
      <w:r w:rsidRPr="00A2554F">
        <w:rPr>
          <w:rFonts w:cs="Calibri"/>
          <w:b/>
          <w:sz w:val="16"/>
          <w:szCs w:val="16"/>
          <w:lang w:val="en-GB"/>
        </w:rPr>
        <w:t>but for which not necessarily all the related payments have been made</w:t>
      </w:r>
      <w:r w:rsidRPr="00A2554F">
        <w:rPr>
          <w:rFonts w:cs="Calibr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Default="00CC6A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Default="00CC6A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EB" w:rsidRDefault="00CC6A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360" w:hanging="360"/>
      </w:pPr>
    </w:lvl>
  </w:abstractNum>
  <w:abstractNum w:abstractNumId="1">
    <w:nsid w:val="00000002"/>
    <w:multiLevelType w:val="multilevel"/>
    <w:tmpl w:val="00000002"/>
    <w:name w:val="WW8Num3"/>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2">
    <w:nsid w:val="00000005"/>
    <w:multiLevelType w:val="singleLevel"/>
    <w:tmpl w:val="00000005"/>
    <w:name w:val="WW8Num6"/>
    <w:lvl w:ilvl="0">
      <w:start w:val="1"/>
      <w:numFmt w:val="lowerLetter"/>
      <w:lvlText w:val="%1)"/>
      <w:lvlJc w:val="left"/>
      <w:pPr>
        <w:tabs>
          <w:tab w:val="num" w:pos="0"/>
        </w:tabs>
        <w:ind w:left="862" w:hanging="360"/>
      </w:p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3E53B2"/>
    <w:multiLevelType w:val="hybridMultilevel"/>
    <w:tmpl w:val="395E581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F6682A"/>
    <w:multiLevelType w:val="hybridMultilevel"/>
    <w:tmpl w:val="CE261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54559D"/>
    <w:multiLevelType w:val="hybridMultilevel"/>
    <w:tmpl w:val="5C4C64BA"/>
    <w:lvl w:ilvl="0" w:tplc="DC80A610">
      <w:start w:val="1"/>
      <w:numFmt w:val="bullet"/>
      <w:lvlText w:val=""/>
      <w:lvlJc w:val="left"/>
      <w:pPr>
        <w:ind w:left="644" w:hanging="360"/>
      </w:pPr>
      <w:rPr>
        <w:rFonts w:ascii="Wingdings 2" w:hAnsi="Wingdings 2"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2C3B52"/>
    <w:multiLevelType w:val="hybridMultilevel"/>
    <w:tmpl w:val="21980980"/>
    <w:lvl w:ilvl="0" w:tplc="DC80A610">
      <w:start w:val="1"/>
      <w:numFmt w:val="bullet"/>
      <w:lvlText w:val=""/>
      <w:lvlJc w:val="left"/>
      <w:pPr>
        <w:ind w:left="1429" w:hanging="360"/>
      </w:pPr>
      <w:rPr>
        <w:rFonts w:ascii="Wingdings 2" w:hAnsi="Wingdings 2"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67D684E"/>
    <w:multiLevelType w:val="hybridMultilevel"/>
    <w:tmpl w:val="37B0E31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010ED3"/>
    <w:multiLevelType w:val="hybridMultilevel"/>
    <w:tmpl w:val="BD969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160636"/>
    <w:multiLevelType w:val="hybridMultilevel"/>
    <w:tmpl w:val="C822637C"/>
    <w:lvl w:ilvl="0" w:tplc="816801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A81FE5"/>
    <w:multiLevelType w:val="hybridMultilevel"/>
    <w:tmpl w:val="B77CB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127C2F"/>
    <w:multiLevelType w:val="hybridMultilevel"/>
    <w:tmpl w:val="B6AC9D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324305"/>
    <w:multiLevelType w:val="hybridMultilevel"/>
    <w:tmpl w:val="B1C0901C"/>
    <w:lvl w:ilvl="0" w:tplc="F39E7542">
      <w:start w:val="1"/>
      <w:numFmt w:val="lowerLetter"/>
      <w:lvlText w:val="%1."/>
      <w:lvlJc w:val="left"/>
      <w:pPr>
        <w:ind w:left="360" w:hanging="360"/>
      </w:pPr>
      <w:rPr>
        <w:i w:val="0"/>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DD7BCF"/>
    <w:multiLevelType w:val="hybridMultilevel"/>
    <w:tmpl w:val="2940D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5C3EE2"/>
    <w:multiLevelType w:val="hybridMultilevel"/>
    <w:tmpl w:val="7F9289CE"/>
    <w:lvl w:ilvl="0" w:tplc="55A049F0">
      <w:start w:val="1"/>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C5C4DA4"/>
    <w:multiLevelType w:val="hybridMultilevel"/>
    <w:tmpl w:val="A43AB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C92C3D"/>
    <w:multiLevelType w:val="hybridMultilevel"/>
    <w:tmpl w:val="B2AE3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0F68BF"/>
    <w:multiLevelType w:val="hybridMultilevel"/>
    <w:tmpl w:val="489AACF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5433005F"/>
    <w:multiLevelType w:val="hybridMultilevel"/>
    <w:tmpl w:val="59B838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C679B2"/>
    <w:multiLevelType w:val="hybridMultilevel"/>
    <w:tmpl w:val="CEEA911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56315D75"/>
    <w:multiLevelType w:val="hybridMultilevel"/>
    <w:tmpl w:val="59EC31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0E709F"/>
    <w:multiLevelType w:val="hybridMultilevel"/>
    <w:tmpl w:val="97A2BF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911063"/>
    <w:multiLevelType w:val="hybridMultilevel"/>
    <w:tmpl w:val="A62C8DD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608C1E0E"/>
    <w:multiLevelType w:val="hybridMultilevel"/>
    <w:tmpl w:val="B56C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EF2C89"/>
    <w:multiLevelType w:val="hybridMultilevel"/>
    <w:tmpl w:val="7EB6A9A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nsid w:val="66A10046"/>
    <w:multiLevelType w:val="hybridMultilevel"/>
    <w:tmpl w:val="37B0E31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7E31674"/>
    <w:multiLevelType w:val="hybridMultilevel"/>
    <w:tmpl w:val="45CE6B5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750531"/>
    <w:multiLevelType w:val="hybridMultilevel"/>
    <w:tmpl w:val="BAD63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7"/>
  </w:num>
  <w:num w:numId="4">
    <w:abstractNumId w:val="12"/>
  </w:num>
  <w:num w:numId="5">
    <w:abstractNumId w:val="16"/>
  </w:num>
  <w:num w:numId="6">
    <w:abstractNumId w:val="15"/>
  </w:num>
  <w:num w:numId="7">
    <w:abstractNumId w:val="17"/>
  </w:num>
  <w:num w:numId="8">
    <w:abstractNumId w:val="21"/>
  </w:num>
  <w:num w:numId="9">
    <w:abstractNumId w:val="23"/>
  </w:num>
  <w:num w:numId="10">
    <w:abstractNumId w:val="5"/>
  </w:num>
  <w:num w:numId="11">
    <w:abstractNumId w:val="8"/>
  </w:num>
  <w:num w:numId="12">
    <w:abstractNumId w:val="13"/>
  </w:num>
  <w:num w:numId="13">
    <w:abstractNumId w:val="22"/>
  </w:num>
  <w:num w:numId="14">
    <w:abstractNumId w:val="11"/>
  </w:num>
  <w:num w:numId="15">
    <w:abstractNumId w:val="14"/>
  </w:num>
  <w:num w:numId="16">
    <w:abstractNumId w:val="6"/>
  </w:num>
  <w:num w:numId="17">
    <w:abstractNumId w:val="27"/>
  </w:num>
  <w:num w:numId="18">
    <w:abstractNumId w:val="20"/>
  </w:num>
  <w:num w:numId="19">
    <w:abstractNumId w:val="18"/>
  </w:num>
  <w:num w:numId="20">
    <w:abstractNumId w:val="25"/>
  </w:num>
  <w:num w:numId="21">
    <w:abstractNumId w:val="0"/>
  </w:num>
  <w:num w:numId="22">
    <w:abstractNumId w:val="1"/>
  </w:num>
  <w:num w:numId="23">
    <w:abstractNumId w:val="2"/>
  </w:num>
  <w:num w:numId="24">
    <w:abstractNumId w:val="3"/>
  </w:num>
  <w:num w:numId="25">
    <w:abstractNumId w:val="19"/>
  </w:num>
  <w:num w:numId="26">
    <w:abstractNumId w:val="24"/>
  </w:num>
  <w:num w:numId="27">
    <w:abstractNumId w:val="9"/>
  </w:num>
  <w:num w:numId="28">
    <w:abstractNumId w:val="28"/>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Chelstowski">
    <w15:presenceInfo w15:providerId="None" w15:userId="Marcin Chels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26"/>
    <w:rsid w:val="000000CD"/>
    <w:rsid w:val="00000E14"/>
    <w:rsid w:val="000011D0"/>
    <w:rsid w:val="0000186A"/>
    <w:rsid w:val="00004677"/>
    <w:rsid w:val="00006AED"/>
    <w:rsid w:val="00006C52"/>
    <w:rsid w:val="000102D2"/>
    <w:rsid w:val="00017866"/>
    <w:rsid w:val="00024A10"/>
    <w:rsid w:val="0002552B"/>
    <w:rsid w:val="00027B38"/>
    <w:rsid w:val="000301CD"/>
    <w:rsid w:val="00031B8F"/>
    <w:rsid w:val="00033B7A"/>
    <w:rsid w:val="000348FE"/>
    <w:rsid w:val="00037B76"/>
    <w:rsid w:val="0004040A"/>
    <w:rsid w:val="000410B7"/>
    <w:rsid w:val="00050B55"/>
    <w:rsid w:val="00051282"/>
    <w:rsid w:val="00062C33"/>
    <w:rsid w:val="0006343F"/>
    <w:rsid w:val="00064B56"/>
    <w:rsid w:val="00070825"/>
    <w:rsid w:val="0007256F"/>
    <w:rsid w:val="00073FB3"/>
    <w:rsid w:val="000753F6"/>
    <w:rsid w:val="000755CD"/>
    <w:rsid w:val="00076E0B"/>
    <w:rsid w:val="000777D3"/>
    <w:rsid w:val="0008004F"/>
    <w:rsid w:val="00083A95"/>
    <w:rsid w:val="00087D1C"/>
    <w:rsid w:val="000930BA"/>
    <w:rsid w:val="000A33F5"/>
    <w:rsid w:val="000A447A"/>
    <w:rsid w:val="000A54FA"/>
    <w:rsid w:val="000A5C4E"/>
    <w:rsid w:val="000B023F"/>
    <w:rsid w:val="000B061C"/>
    <w:rsid w:val="000B288A"/>
    <w:rsid w:val="000B6F5C"/>
    <w:rsid w:val="000C02F9"/>
    <w:rsid w:val="000C1399"/>
    <w:rsid w:val="000C1F5A"/>
    <w:rsid w:val="000C258D"/>
    <w:rsid w:val="000C320C"/>
    <w:rsid w:val="000C33B3"/>
    <w:rsid w:val="000C379D"/>
    <w:rsid w:val="000C388A"/>
    <w:rsid w:val="000C62F5"/>
    <w:rsid w:val="000D00A4"/>
    <w:rsid w:val="000D241F"/>
    <w:rsid w:val="000D5883"/>
    <w:rsid w:val="000D7F53"/>
    <w:rsid w:val="000E0E60"/>
    <w:rsid w:val="000E1BC7"/>
    <w:rsid w:val="000E2E1A"/>
    <w:rsid w:val="000E4C9F"/>
    <w:rsid w:val="000F159C"/>
    <w:rsid w:val="000F27BB"/>
    <w:rsid w:val="000F415A"/>
    <w:rsid w:val="000F44E5"/>
    <w:rsid w:val="000F6975"/>
    <w:rsid w:val="00101229"/>
    <w:rsid w:val="001039DA"/>
    <w:rsid w:val="00110299"/>
    <w:rsid w:val="00113750"/>
    <w:rsid w:val="00113BB2"/>
    <w:rsid w:val="00115599"/>
    <w:rsid w:val="00117805"/>
    <w:rsid w:val="00117FE4"/>
    <w:rsid w:val="00125114"/>
    <w:rsid w:val="00125184"/>
    <w:rsid w:val="001267CB"/>
    <w:rsid w:val="001268E3"/>
    <w:rsid w:val="00131E75"/>
    <w:rsid w:val="00132EC7"/>
    <w:rsid w:val="00133C22"/>
    <w:rsid w:val="00133C37"/>
    <w:rsid w:val="001359D5"/>
    <w:rsid w:val="00137AB0"/>
    <w:rsid w:val="00140A4F"/>
    <w:rsid w:val="00140BE1"/>
    <w:rsid w:val="001411F7"/>
    <w:rsid w:val="00143C19"/>
    <w:rsid w:val="001448CC"/>
    <w:rsid w:val="00145A53"/>
    <w:rsid w:val="001461DF"/>
    <w:rsid w:val="001469ED"/>
    <w:rsid w:val="00147BD7"/>
    <w:rsid w:val="0015083A"/>
    <w:rsid w:val="00153D57"/>
    <w:rsid w:val="00153FF3"/>
    <w:rsid w:val="001624B7"/>
    <w:rsid w:val="00162BE1"/>
    <w:rsid w:val="00162F9E"/>
    <w:rsid w:val="00163B17"/>
    <w:rsid w:val="00164583"/>
    <w:rsid w:val="00164787"/>
    <w:rsid w:val="00164C9A"/>
    <w:rsid w:val="0016604C"/>
    <w:rsid w:val="001741A4"/>
    <w:rsid w:val="00174978"/>
    <w:rsid w:val="00177276"/>
    <w:rsid w:val="001810EA"/>
    <w:rsid w:val="00181E0A"/>
    <w:rsid w:val="00184E8A"/>
    <w:rsid w:val="001854F1"/>
    <w:rsid w:val="0019047E"/>
    <w:rsid w:val="00190CD8"/>
    <w:rsid w:val="001932F6"/>
    <w:rsid w:val="00194A20"/>
    <w:rsid w:val="001970CE"/>
    <w:rsid w:val="001A09FC"/>
    <w:rsid w:val="001A19D3"/>
    <w:rsid w:val="001A49AB"/>
    <w:rsid w:val="001A5574"/>
    <w:rsid w:val="001A71C7"/>
    <w:rsid w:val="001B19EB"/>
    <w:rsid w:val="001B3797"/>
    <w:rsid w:val="001B40DA"/>
    <w:rsid w:val="001B70CA"/>
    <w:rsid w:val="001B7BC6"/>
    <w:rsid w:val="001C11A6"/>
    <w:rsid w:val="001C340A"/>
    <w:rsid w:val="001C3F6E"/>
    <w:rsid w:val="001C7E9E"/>
    <w:rsid w:val="001D256B"/>
    <w:rsid w:val="001D2AD6"/>
    <w:rsid w:val="001D38FD"/>
    <w:rsid w:val="001D7A33"/>
    <w:rsid w:val="001E3712"/>
    <w:rsid w:val="001E42D8"/>
    <w:rsid w:val="001E5ECA"/>
    <w:rsid w:val="001E5EF7"/>
    <w:rsid w:val="001E67AB"/>
    <w:rsid w:val="001F0EEE"/>
    <w:rsid w:val="001F2B39"/>
    <w:rsid w:val="001F7F7D"/>
    <w:rsid w:val="00200009"/>
    <w:rsid w:val="002027CA"/>
    <w:rsid w:val="00206AB5"/>
    <w:rsid w:val="00210AFF"/>
    <w:rsid w:val="00214478"/>
    <w:rsid w:val="002148E6"/>
    <w:rsid w:val="0021644B"/>
    <w:rsid w:val="00220E92"/>
    <w:rsid w:val="00222197"/>
    <w:rsid w:val="00226CD8"/>
    <w:rsid w:val="00227FE0"/>
    <w:rsid w:val="002309BB"/>
    <w:rsid w:val="00231390"/>
    <w:rsid w:val="00231724"/>
    <w:rsid w:val="00233879"/>
    <w:rsid w:val="00235D23"/>
    <w:rsid w:val="00236634"/>
    <w:rsid w:val="00240786"/>
    <w:rsid w:val="00240A2F"/>
    <w:rsid w:val="00240C3D"/>
    <w:rsid w:val="002426CF"/>
    <w:rsid w:val="0024417F"/>
    <w:rsid w:val="00246246"/>
    <w:rsid w:val="00246EA8"/>
    <w:rsid w:val="00247221"/>
    <w:rsid w:val="00254533"/>
    <w:rsid w:val="002562B9"/>
    <w:rsid w:val="002570DE"/>
    <w:rsid w:val="00260CCB"/>
    <w:rsid w:val="002623C6"/>
    <w:rsid w:val="0026391D"/>
    <w:rsid w:val="00264402"/>
    <w:rsid w:val="00265EB5"/>
    <w:rsid w:val="00265EE8"/>
    <w:rsid w:val="0026704E"/>
    <w:rsid w:val="0026718E"/>
    <w:rsid w:val="00273163"/>
    <w:rsid w:val="00274A8D"/>
    <w:rsid w:val="00275402"/>
    <w:rsid w:val="00276080"/>
    <w:rsid w:val="00276098"/>
    <w:rsid w:val="0027664D"/>
    <w:rsid w:val="0028306D"/>
    <w:rsid w:val="00283089"/>
    <w:rsid w:val="00283D57"/>
    <w:rsid w:val="00287250"/>
    <w:rsid w:val="002877C1"/>
    <w:rsid w:val="0029017B"/>
    <w:rsid w:val="00290E44"/>
    <w:rsid w:val="002920DB"/>
    <w:rsid w:val="00293689"/>
    <w:rsid w:val="002A0F47"/>
    <w:rsid w:val="002A38C2"/>
    <w:rsid w:val="002A3981"/>
    <w:rsid w:val="002A55BD"/>
    <w:rsid w:val="002A7796"/>
    <w:rsid w:val="002B17CD"/>
    <w:rsid w:val="002B1C52"/>
    <w:rsid w:val="002B28C9"/>
    <w:rsid w:val="002B3546"/>
    <w:rsid w:val="002B45AD"/>
    <w:rsid w:val="002B4640"/>
    <w:rsid w:val="002B5B62"/>
    <w:rsid w:val="002C3C6E"/>
    <w:rsid w:val="002C63E9"/>
    <w:rsid w:val="002C656C"/>
    <w:rsid w:val="002C7278"/>
    <w:rsid w:val="002D3108"/>
    <w:rsid w:val="002D33C8"/>
    <w:rsid w:val="002D46D8"/>
    <w:rsid w:val="002D47E5"/>
    <w:rsid w:val="002D4DA1"/>
    <w:rsid w:val="002E155C"/>
    <w:rsid w:val="002E194D"/>
    <w:rsid w:val="002E241C"/>
    <w:rsid w:val="002F28ED"/>
    <w:rsid w:val="002F37F6"/>
    <w:rsid w:val="002F64AA"/>
    <w:rsid w:val="002F7796"/>
    <w:rsid w:val="002F7FCB"/>
    <w:rsid w:val="00302331"/>
    <w:rsid w:val="00302F08"/>
    <w:rsid w:val="0030443C"/>
    <w:rsid w:val="0030501F"/>
    <w:rsid w:val="003063FF"/>
    <w:rsid w:val="0031691A"/>
    <w:rsid w:val="00316AB6"/>
    <w:rsid w:val="00317788"/>
    <w:rsid w:val="00317FC4"/>
    <w:rsid w:val="00322484"/>
    <w:rsid w:val="003226BC"/>
    <w:rsid w:val="003235BF"/>
    <w:rsid w:val="003254C2"/>
    <w:rsid w:val="00326DC7"/>
    <w:rsid w:val="00327669"/>
    <w:rsid w:val="00330A2C"/>
    <w:rsid w:val="003312F9"/>
    <w:rsid w:val="0033270D"/>
    <w:rsid w:val="00333921"/>
    <w:rsid w:val="00334635"/>
    <w:rsid w:val="00334C04"/>
    <w:rsid w:val="003375E0"/>
    <w:rsid w:val="00341EDE"/>
    <w:rsid w:val="00342A05"/>
    <w:rsid w:val="0034493B"/>
    <w:rsid w:val="0034675A"/>
    <w:rsid w:val="0034754C"/>
    <w:rsid w:val="003505E8"/>
    <w:rsid w:val="003519AD"/>
    <w:rsid w:val="00352C7A"/>
    <w:rsid w:val="00354B72"/>
    <w:rsid w:val="00356A92"/>
    <w:rsid w:val="00356E96"/>
    <w:rsid w:val="00357B76"/>
    <w:rsid w:val="0036185C"/>
    <w:rsid w:val="0036200F"/>
    <w:rsid w:val="00363E03"/>
    <w:rsid w:val="00367B74"/>
    <w:rsid w:val="0037048B"/>
    <w:rsid w:val="003713C9"/>
    <w:rsid w:val="00371628"/>
    <w:rsid w:val="00373458"/>
    <w:rsid w:val="0037513D"/>
    <w:rsid w:val="00375378"/>
    <w:rsid w:val="003765AB"/>
    <w:rsid w:val="00376CBF"/>
    <w:rsid w:val="00381863"/>
    <w:rsid w:val="00381DD1"/>
    <w:rsid w:val="00382D89"/>
    <w:rsid w:val="003855BA"/>
    <w:rsid w:val="00387706"/>
    <w:rsid w:val="0039122E"/>
    <w:rsid w:val="00391E4A"/>
    <w:rsid w:val="00392A37"/>
    <w:rsid w:val="00396913"/>
    <w:rsid w:val="003A0254"/>
    <w:rsid w:val="003A3842"/>
    <w:rsid w:val="003A471F"/>
    <w:rsid w:val="003A68AA"/>
    <w:rsid w:val="003A6B7D"/>
    <w:rsid w:val="003B1257"/>
    <w:rsid w:val="003B37D9"/>
    <w:rsid w:val="003B5BC4"/>
    <w:rsid w:val="003B5E9C"/>
    <w:rsid w:val="003C0933"/>
    <w:rsid w:val="003C0A0A"/>
    <w:rsid w:val="003C1278"/>
    <w:rsid w:val="003C38CE"/>
    <w:rsid w:val="003C59E6"/>
    <w:rsid w:val="003C5E9B"/>
    <w:rsid w:val="003D03F1"/>
    <w:rsid w:val="003D180B"/>
    <w:rsid w:val="003D225E"/>
    <w:rsid w:val="003D5D55"/>
    <w:rsid w:val="003D631C"/>
    <w:rsid w:val="003D74A6"/>
    <w:rsid w:val="003E300F"/>
    <w:rsid w:val="003E5648"/>
    <w:rsid w:val="003E6605"/>
    <w:rsid w:val="003E698C"/>
    <w:rsid w:val="003E70CB"/>
    <w:rsid w:val="003F07F3"/>
    <w:rsid w:val="003F2A5A"/>
    <w:rsid w:val="003F2B24"/>
    <w:rsid w:val="003F47FF"/>
    <w:rsid w:val="003F58B6"/>
    <w:rsid w:val="004014F8"/>
    <w:rsid w:val="004022A4"/>
    <w:rsid w:val="00403678"/>
    <w:rsid w:val="004051E0"/>
    <w:rsid w:val="0041033D"/>
    <w:rsid w:val="00410544"/>
    <w:rsid w:val="00414079"/>
    <w:rsid w:val="00415D8E"/>
    <w:rsid w:val="0041783B"/>
    <w:rsid w:val="00421052"/>
    <w:rsid w:val="004255EA"/>
    <w:rsid w:val="00426262"/>
    <w:rsid w:val="0043575D"/>
    <w:rsid w:val="00441360"/>
    <w:rsid w:val="0044309B"/>
    <w:rsid w:val="00443F55"/>
    <w:rsid w:val="004508DB"/>
    <w:rsid w:val="00451BA5"/>
    <w:rsid w:val="00454111"/>
    <w:rsid w:val="004574BD"/>
    <w:rsid w:val="004576C4"/>
    <w:rsid w:val="0046457D"/>
    <w:rsid w:val="00467F15"/>
    <w:rsid w:val="00472F02"/>
    <w:rsid w:val="00476D57"/>
    <w:rsid w:val="004810BD"/>
    <w:rsid w:val="004827EB"/>
    <w:rsid w:val="0048322C"/>
    <w:rsid w:val="00484CAE"/>
    <w:rsid w:val="00490F00"/>
    <w:rsid w:val="004941E4"/>
    <w:rsid w:val="004A33FE"/>
    <w:rsid w:val="004B1845"/>
    <w:rsid w:val="004B3408"/>
    <w:rsid w:val="004B5E32"/>
    <w:rsid w:val="004B67A9"/>
    <w:rsid w:val="004C0697"/>
    <w:rsid w:val="004C3982"/>
    <w:rsid w:val="004C425D"/>
    <w:rsid w:val="004C7BFD"/>
    <w:rsid w:val="004C7FDA"/>
    <w:rsid w:val="004D021A"/>
    <w:rsid w:val="004D3ACB"/>
    <w:rsid w:val="004D4A35"/>
    <w:rsid w:val="004E13CD"/>
    <w:rsid w:val="004E156F"/>
    <w:rsid w:val="004E3D99"/>
    <w:rsid w:val="004E5672"/>
    <w:rsid w:val="004E66D1"/>
    <w:rsid w:val="004E7DF3"/>
    <w:rsid w:val="004F290D"/>
    <w:rsid w:val="004F4A31"/>
    <w:rsid w:val="004F5944"/>
    <w:rsid w:val="004F5D4C"/>
    <w:rsid w:val="004F5E73"/>
    <w:rsid w:val="004F799F"/>
    <w:rsid w:val="00500075"/>
    <w:rsid w:val="00500495"/>
    <w:rsid w:val="00500CA4"/>
    <w:rsid w:val="00502D3A"/>
    <w:rsid w:val="00503960"/>
    <w:rsid w:val="00505E5C"/>
    <w:rsid w:val="00512266"/>
    <w:rsid w:val="00513324"/>
    <w:rsid w:val="00517364"/>
    <w:rsid w:val="00520837"/>
    <w:rsid w:val="00521299"/>
    <w:rsid w:val="005273BC"/>
    <w:rsid w:val="00530753"/>
    <w:rsid w:val="00531812"/>
    <w:rsid w:val="00531E9D"/>
    <w:rsid w:val="00536BBE"/>
    <w:rsid w:val="005415BB"/>
    <w:rsid w:val="005419C5"/>
    <w:rsid w:val="00544B8B"/>
    <w:rsid w:val="00544FF5"/>
    <w:rsid w:val="005451DB"/>
    <w:rsid w:val="00545BE1"/>
    <w:rsid w:val="00546D57"/>
    <w:rsid w:val="00546F59"/>
    <w:rsid w:val="00551305"/>
    <w:rsid w:val="005515E2"/>
    <w:rsid w:val="00552A2A"/>
    <w:rsid w:val="00552D96"/>
    <w:rsid w:val="00554B27"/>
    <w:rsid w:val="00556512"/>
    <w:rsid w:val="00560461"/>
    <w:rsid w:val="00562D1A"/>
    <w:rsid w:val="0056319F"/>
    <w:rsid w:val="00564C83"/>
    <w:rsid w:val="00565B8A"/>
    <w:rsid w:val="00566993"/>
    <w:rsid w:val="00567064"/>
    <w:rsid w:val="00570E1F"/>
    <w:rsid w:val="00574ABB"/>
    <w:rsid w:val="00575764"/>
    <w:rsid w:val="0057787E"/>
    <w:rsid w:val="00585765"/>
    <w:rsid w:val="0058720B"/>
    <w:rsid w:val="0059364F"/>
    <w:rsid w:val="00595E08"/>
    <w:rsid w:val="00597BF5"/>
    <w:rsid w:val="005A0DFB"/>
    <w:rsid w:val="005A36AC"/>
    <w:rsid w:val="005B00CA"/>
    <w:rsid w:val="005B1BC9"/>
    <w:rsid w:val="005B3D37"/>
    <w:rsid w:val="005B42CB"/>
    <w:rsid w:val="005C2A44"/>
    <w:rsid w:val="005C2DF8"/>
    <w:rsid w:val="005C38F3"/>
    <w:rsid w:val="005C7F94"/>
    <w:rsid w:val="005D06F1"/>
    <w:rsid w:val="005D3E1F"/>
    <w:rsid w:val="005D422F"/>
    <w:rsid w:val="005D7E96"/>
    <w:rsid w:val="005E0ACB"/>
    <w:rsid w:val="005E0BB1"/>
    <w:rsid w:val="005E151D"/>
    <w:rsid w:val="005E2BF0"/>
    <w:rsid w:val="005E395C"/>
    <w:rsid w:val="005E5D5E"/>
    <w:rsid w:val="005F0718"/>
    <w:rsid w:val="005F2673"/>
    <w:rsid w:val="005F32F3"/>
    <w:rsid w:val="005F6C3C"/>
    <w:rsid w:val="00604D8A"/>
    <w:rsid w:val="0060647F"/>
    <w:rsid w:val="00606568"/>
    <w:rsid w:val="00607EC9"/>
    <w:rsid w:val="0061030D"/>
    <w:rsid w:val="00610CF2"/>
    <w:rsid w:val="0061574E"/>
    <w:rsid w:val="0061593F"/>
    <w:rsid w:val="00616071"/>
    <w:rsid w:val="00617449"/>
    <w:rsid w:val="006212F4"/>
    <w:rsid w:val="00621AB0"/>
    <w:rsid w:val="0062421F"/>
    <w:rsid w:val="00625965"/>
    <w:rsid w:val="00625DDB"/>
    <w:rsid w:val="00630B95"/>
    <w:rsid w:val="0063215F"/>
    <w:rsid w:val="00632174"/>
    <w:rsid w:val="00634ED1"/>
    <w:rsid w:val="00640292"/>
    <w:rsid w:val="00640FAD"/>
    <w:rsid w:val="00641651"/>
    <w:rsid w:val="00643A68"/>
    <w:rsid w:val="00643CAB"/>
    <w:rsid w:val="00646C48"/>
    <w:rsid w:val="00651C56"/>
    <w:rsid w:val="00654A6A"/>
    <w:rsid w:val="00655986"/>
    <w:rsid w:val="00655C9F"/>
    <w:rsid w:val="00662933"/>
    <w:rsid w:val="00662B47"/>
    <w:rsid w:val="00662DE5"/>
    <w:rsid w:val="00663896"/>
    <w:rsid w:val="0066697B"/>
    <w:rsid w:val="00667C0D"/>
    <w:rsid w:val="0067073E"/>
    <w:rsid w:val="006730BE"/>
    <w:rsid w:val="00674F60"/>
    <w:rsid w:val="00675151"/>
    <w:rsid w:val="006754AA"/>
    <w:rsid w:val="00677E0B"/>
    <w:rsid w:val="00682B7C"/>
    <w:rsid w:val="006840C4"/>
    <w:rsid w:val="00684858"/>
    <w:rsid w:val="0068712D"/>
    <w:rsid w:val="00690CC7"/>
    <w:rsid w:val="0069163C"/>
    <w:rsid w:val="0069625B"/>
    <w:rsid w:val="006A16B3"/>
    <w:rsid w:val="006A441C"/>
    <w:rsid w:val="006A4B18"/>
    <w:rsid w:val="006A52FF"/>
    <w:rsid w:val="006A56DA"/>
    <w:rsid w:val="006A7A25"/>
    <w:rsid w:val="006B1599"/>
    <w:rsid w:val="006B66FC"/>
    <w:rsid w:val="006C0841"/>
    <w:rsid w:val="006C0AEA"/>
    <w:rsid w:val="006C35EC"/>
    <w:rsid w:val="006D038E"/>
    <w:rsid w:val="006D0FED"/>
    <w:rsid w:val="006D21F8"/>
    <w:rsid w:val="006D32A6"/>
    <w:rsid w:val="006D4A41"/>
    <w:rsid w:val="006D5B9B"/>
    <w:rsid w:val="006D67CA"/>
    <w:rsid w:val="006D6B9B"/>
    <w:rsid w:val="006E16C1"/>
    <w:rsid w:val="006E259F"/>
    <w:rsid w:val="006E389B"/>
    <w:rsid w:val="006E63D5"/>
    <w:rsid w:val="006E7E31"/>
    <w:rsid w:val="006F0159"/>
    <w:rsid w:val="006F107A"/>
    <w:rsid w:val="006F228E"/>
    <w:rsid w:val="00702CA0"/>
    <w:rsid w:val="00707DF4"/>
    <w:rsid w:val="00711048"/>
    <w:rsid w:val="00711648"/>
    <w:rsid w:val="00713116"/>
    <w:rsid w:val="00713F06"/>
    <w:rsid w:val="00716C93"/>
    <w:rsid w:val="007213D7"/>
    <w:rsid w:val="00722AB5"/>
    <w:rsid w:val="00722C00"/>
    <w:rsid w:val="00723AC1"/>
    <w:rsid w:val="007266D8"/>
    <w:rsid w:val="00727320"/>
    <w:rsid w:val="00732540"/>
    <w:rsid w:val="0073436E"/>
    <w:rsid w:val="00736ACA"/>
    <w:rsid w:val="00736F21"/>
    <w:rsid w:val="00737C5C"/>
    <w:rsid w:val="007420C8"/>
    <w:rsid w:val="007428E9"/>
    <w:rsid w:val="00745B4E"/>
    <w:rsid w:val="00747093"/>
    <w:rsid w:val="00750AB1"/>
    <w:rsid w:val="00751D1F"/>
    <w:rsid w:val="0075293E"/>
    <w:rsid w:val="00752C14"/>
    <w:rsid w:val="0075352C"/>
    <w:rsid w:val="00753A20"/>
    <w:rsid w:val="007570A9"/>
    <w:rsid w:val="00761978"/>
    <w:rsid w:val="007655D7"/>
    <w:rsid w:val="00765E4A"/>
    <w:rsid w:val="007672E8"/>
    <w:rsid w:val="00770673"/>
    <w:rsid w:val="00770E62"/>
    <w:rsid w:val="007720F2"/>
    <w:rsid w:val="00781F1F"/>
    <w:rsid w:val="0078551C"/>
    <w:rsid w:val="00786A03"/>
    <w:rsid w:val="0079249A"/>
    <w:rsid w:val="007928D9"/>
    <w:rsid w:val="00792A7F"/>
    <w:rsid w:val="00796211"/>
    <w:rsid w:val="007977FA"/>
    <w:rsid w:val="007A3633"/>
    <w:rsid w:val="007A4575"/>
    <w:rsid w:val="007A4D90"/>
    <w:rsid w:val="007B0134"/>
    <w:rsid w:val="007B15BC"/>
    <w:rsid w:val="007B1FB2"/>
    <w:rsid w:val="007B56B2"/>
    <w:rsid w:val="007C153A"/>
    <w:rsid w:val="007C2692"/>
    <w:rsid w:val="007C331A"/>
    <w:rsid w:val="007C5019"/>
    <w:rsid w:val="007C6080"/>
    <w:rsid w:val="007D2103"/>
    <w:rsid w:val="007D3879"/>
    <w:rsid w:val="007E1A9C"/>
    <w:rsid w:val="007E3627"/>
    <w:rsid w:val="007E38B5"/>
    <w:rsid w:val="007E5D2C"/>
    <w:rsid w:val="007E784A"/>
    <w:rsid w:val="007F10C0"/>
    <w:rsid w:val="007F13E1"/>
    <w:rsid w:val="00801A43"/>
    <w:rsid w:val="00801B7C"/>
    <w:rsid w:val="00802715"/>
    <w:rsid w:val="00803F6A"/>
    <w:rsid w:val="00804F73"/>
    <w:rsid w:val="00811596"/>
    <w:rsid w:val="00812573"/>
    <w:rsid w:val="00812DD0"/>
    <w:rsid w:val="0081367F"/>
    <w:rsid w:val="0081401D"/>
    <w:rsid w:val="00815947"/>
    <w:rsid w:val="00817095"/>
    <w:rsid w:val="0081781C"/>
    <w:rsid w:val="008201BF"/>
    <w:rsid w:val="0082025C"/>
    <w:rsid w:val="008248F2"/>
    <w:rsid w:val="008249F5"/>
    <w:rsid w:val="0082575E"/>
    <w:rsid w:val="008316D0"/>
    <w:rsid w:val="00832C54"/>
    <w:rsid w:val="00832DBF"/>
    <w:rsid w:val="00840299"/>
    <w:rsid w:val="00844A1F"/>
    <w:rsid w:val="0084538A"/>
    <w:rsid w:val="0084795D"/>
    <w:rsid w:val="0085129D"/>
    <w:rsid w:val="00851B24"/>
    <w:rsid w:val="00855BB9"/>
    <w:rsid w:val="008563C3"/>
    <w:rsid w:val="00860DD6"/>
    <w:rsid w:val="00862611"/>
    <w:rsid w:val="00866120"/>
    <w:rsid w:val="008700E1"/>
    <w:rsid w:val="00870CF9"/>
    <w:rsid w:val="008714CF"/>
    <w:rsid w:val="008727EB"/>
    <w:rsid w:val="00873652"/>
    <w:rsid w:val="00874505"/>
    <w:rsid w:val="00875574"/>
    <w:rsid w:val="0088112B"/>
    <w:rsid w:val="00881170"/>
    <w:rsid w:val="008813A5"/>
    <w:rsid w:val="008820BF"/>
    <w:rsid w:val="008864A1"/>
    <w:rsid w:val="00887E0A"/>
    <w:rsid w:val="00890356"/>
    <w:rsid w:val="0089345C"/>
    <w:rsid w:val="00893AD2"/>
    <w:rsid w:val="00897152"/>
    <w:rsid w:val="008A081C"/>
    <w:rsid w:val="008A4692"/>
    <w:rsid w:val="008A51A8"/>
    <w:rsid w:val="008B2F35"/>
    <w:rsid w:val="008B65C3"/>
    <w:rsid w:val="008B7E15"/>
    <w:rsid w:val="008C062F"/>
    <w:rsid w:val="008C1145"/>
    <w:rsid w:val="008C58FA"/>
    <w:rsid w:val="008C62CE"/>
    <w:rsid w:val="008C647E"/>
    <w:rsid w:val="008D113D"/>
    <w:rsid w:val="008D2541"/>
    <w:rsid w:val="008D7DE6"/>
    <w:rsid w:val="008E0088"/>
    <w:rsid w:val="008E04EF"/>
    <w:rsid w:val="008E0F12"/>
    <w:rsid w:val="008E69D9"/>
    <w:rsid w:val="008F32A3"/>
    <w:rsid w:val="008F6D5F"/>
    <w:rsid w:val="00901556"/>
    <w:rsid w:val="0090485F"/>
    <w:rsid w:val="00906334"/>
    <w:rsid w:val="00907419"/>
    <w:rsid w:val="009104C2"/>
    <w:rsid w:val="00910703"/>
    <w:rsid w:val="00911A7D"/>
    <w:rsid w:val="0091353E"/>
    <w:rsid w:val="00913A82"/>
    <w:rsid w:val="00915189"/>
    <w:rsid w:val="00916B3F"/>
    <w:rsid w:val="0092186B"/>
    <w:rsid w:val="009221A6"/>
    <w:rsid w:val="009230C2"/>
    <w:rsid w:val="0092373E"/>
    <w:rsid w:val="0092661A"/>
    <w:rsid w:val="009323D3"/>
    <w:rsid w:val="009332D8"/>
    <w:rsid w:val="009335A0"/>
    <w:rsid w:val="009348F5"/>
    <w:rsid w:val="00935309"/>
    <w:rsid w:val="009355EF"/>
    <w:rsid w:val="00942A6A"/>
    <w:rsid w:val="009448C0"/>
    <w:rsid w:val="009466EA"/>
    <w:rsid w:val="00946CB8"/>
    <w:rsid w:val="00952B73"/>
    <w:rsid w:val="00954D5E"/>
    <w:rsid w:val="00957357"/>
    <w:rsid w:val="0096229E"/>
    <w:rsid w:val="00963BDC"/>
    <w:rsid w:val="0096581D"/>
    <w:rsid w:val="00965DD1"/>
    <w:rsid w:val="00974361"/>
    <w:rsid w:val="009755EE"/>
    <w:rsid w:val="00977ACF"/>
    <w:rsid w:val="00981B1C"/>
    <w:rsid w:val="00982123"/>
    <w:rsid w:val="00985FDD"/>
    <w:rsid w:val="009866DE"/>
    <w:rsid w:val="00990285"/>
    <w:rsid w:val="0099067F"/>
    <w:rsid w:val="00993B2C"/>
    <w:rsid w:val="00993C76"/>
    <w:rsid w:val="00995834"/>
    <w:rsid w:val="009A16F1"/>
    <w:rsid w:val="009A6CEB"/>
    <w:rsid w:val="009A756A"/>
    <w:rsid w:val="009A7FD8"/>
    <w:rsid w:val="009B06C9"/>
    <w:rsid w:val="009B06FE"/>
    <w:rsid w:val="009B5771"/>
    <w:rsid w:val="009B6A15"/>
    <w:rsid w:val="009B7C5C"/>
    <w:rsid w:val="009C1199"/>
    <w:rsid w:val="009C3188"/>
    <w:rsid w:val="009C6007"/>
    <w:rsid w:val="009C7DBA"/>
    <w:rsid w:val="009D05DB"/>
    <w:rsid w:val="009D0952"/>
    <w:rsid w:val="009D4F03"/>
    <w:rsid w:val="009D566A"/>
    <w:rsid w:val="009D5FDF"/>
    <w:rsid w:val="009E0EB5"/>
    <w:rsid w:val="009E2E08"/>
    <w:rsid w:val="009E7F38"/>
    <w:rsid w:val="009F6B53"/>
    <w:rsid w:val="00A020F3"/>
    <w:rsid w:val="00A04D74"/>
    <w:rsid w:val="00A05DC5"/>
    <w:rsid w:val="00A0740B"/>
    <w:rsid w:val="00A07CA3"/>
    <w:rsid w:val="00A10F03"/>
    <w:rsid w:val="00A11E8D"/>
    <w:rsid w:val="00A2111E"/>
    <w:rsid w:val="00A220A9"/>
    <w:rsid w:val="00A24329"/>
    <w:rsid w:val="00A26620"/>
    <w:rsid w:val="00A3393D"/>
    <w:rsid w:val="00A368CA"/>
    <w:rsid w:val="00A36ED8"/>
    <w:rsid w:val="00A37389"/>
    <w:rsid w:val="00A40F66"/>
    <w:rsid w:val="00A414D3"/>
    <w:rsid w:val="00A41D10"/>
    <w:rsid w:val="00A4221A"/>
    <w:rsid w:val="00A44CA5"/>
    <w:rsid w:val="00A4539A"/>
    <w:rsid w:val="00A50471"/>
    <w:rsid w:val="00A50FF6"/>
    <w:rsid w:val="00A514B1"/>
    <w:rsid w:val="00A53561"/>
    <w:rsid w:val="00A551CA"/>
    <w:rsid w:val="00A553E1"/>
    <w:rsid w:val="00A6439C"/>
    <w:rsid w:val="00A666B0"/>
    <w:rsid w:val="00A66DE5"/>
    <w:rsid w:val="00A725E0"/>
    <w:rsid w:val="00A733F0"/>
    <w:rsid w:val="00A73531"/>
    <w:rsid w:val="00A7619F"/>
    <w:rsid w:val="00A763DE"/>
    <w:rsid w:val="00A77BBF"/>
    <w:rsid w:val="00A8171A"/>
    <w:rsid w:val="00A9228C"/>
    <w:rsid w:val="00A92F92"/>
    <w:rsid w:val="00AA11C8"/>
    <w:rsid w:val="00AA2353"/>
    <w:rsid w:val="00AA4513"/>
    <w:rsid w:val="00AA52FE"/>
    <w:rsid w:val="00AB44D4"/>
    <w:rsid w:val="00AB45EC"/>
    <w:rsid w:val="00AB47C5"/>
    <w:rsid w:val="00AB4CE9"/>
    <w:rsid w:val="00AB6B34"/>
    <w:rsid w:val="00AC3726"/>
    <w:rsid w:val="00AC4CBE"/>
    <w:rsid w:val="00AC56F1"/>
    <w:rsid w:val="00AC5F10"/>
    <w:rsid w:val="00AC648E"/>
    <w:rsid w:val="00AD4CA2"/>
    <w:rsid w:val="00AD56A9"/>
    <w:rsid w:val="00AD6989"/>
    <w:rsid w:val="00AE07ED"/>
    <w:rsid w:val="00AE1739"/>
    <w:rsid w:val="00AE390F"/>
    <w:rsid w:val="00AE58D1"/>
    <w:rsid w:val="00AE5F3B"/>
    <w:rsid w:val="00AE62BA"/>
    <w:rsid w:val="00AE65E1"/>
    <w:rsid w:val="00AF192A"/>
    <w:rsid w:val="00AF245D"/>
    <w:rsid w:val="00AF24A5"/>
    <w:rsid w:val="00AF28DA"/>
    <w:rsid w:val="00AF4783"/>
    <w:rsid w:val="00AF48D8"/>
    <w:rsid w:val="00AF76F2"/>
    <w:rsid w:val="00B02B39"/>
    <w:rsid w:val="00B04452"/>
    <w:rsid w:val="00B051EC"/>
    <w:rsid w:val="00B0584D"/>
    <w:rsid w:val="00B07F4A"/>
    <w:rsid w:val="00B10580"/>
    <w:rsid w:val="00B10587"/>
    <w:rsid w:val="00B118CF"/>
    <w:rsid w:val="00B1411D"/>
    <w:rsid w:val="00B16279"/>
    <w:rsid w:val="00B1650A"/>
    <w:rsid w:val="00B2022C"/>
    <w:rsid w:val="00B20B35"/>
    <w:rsid w:val="00B2129B"/>
    <w:rsid w:val="00B22822"/>
    <w:rsid w:val="00B24E1E"/>
    <w:rsid w:val="00B27FB5"/>
    <w:rsid w:val="00B32F0E"/>
    <w:rsid w:val="00B32F22"/>
    <w:rsid w:val="00B34F73"/>
    <w:rsid w:val="00B35695"/>
    <w:rsid w:val="00B40F61"/>
    <w:rsid w:val="00B4141A"/>
    <w:rsid w:val="00B42292"/>
    <w:rsid w:val="00B45BFA"/>
    <w:rsid w:val="00B45FAB"/>
    <w:rsid w:val="00B470FA"/>
    <w:rsid w:val="00B51B28"/>
    <w:rsid w:val="00B51E02"/>
    <w:rsid w:val="00B5201E"/>
    <w:rsid w:val="00B542A1"/>
    <w:rsid w:val="00B544D7"/>
    <w:rsid w:val="00B56097"/>
    <w:rsid w:val="00B570A5"/>
    <w:rsid w:val="00B5788A"/>
    <w:rsid w:val="00B6025C"/>
    <w:rsid w:val="00B62E8E"/>
    <w:rsid w:val="00B64D7F"/>
    <w:rsid w:val="00B654BE"/>
    <w:rsid w:val="00B65C99"/>
    <w:rsid w:val="00B66413"/>
    <w:rsid w:val="00B667F8"/>
    <w:rsid w:val="00B674F0"/>
    <w:rsid w:val="00B678D0"/>
    <w:rsid w:val="00B71EEC"/>
    <w:rsid w:val="00B80E57"/>
    <w:rsid w:val="00B81A82"/>
    <w:rsid w:val="00B8303E"/>
    <w:rsid w:val="00B85C4E"/>
    <w:rsid w:val="00B91651"/>
    <w:rsid w:val="00B917E0"/>
    <w:rsid w:val="00B91B62"/>
    <w:rsid w:val="00B948E0"/>
    <w:rsid w:val="00B95551"/>
    <w:rsid w:val="00BA1413"/>
    <w:rsid w:val="00BA1B2E"/>
    <w:rsid w:val="00BA3203"/>
    <w:rsid w:val="00BA47E9"/>
    <w:rsid w:val="00BB298F"/>
    <w:rsid w:val="00BB2F64"/>
    <w:rsid w:val="00BB37F6"/>
    <w:rsid w:val="00BB3831"/>
    <w:rsid w:val="00BB38B4"/>
    <w:rsid w:val="00BB41B9"/>
    <w:rsid w:val="00BB5A64"/>
    <w:rsid w:val="00BC3752"/>
    <w:rsid w:val="00BC6A8D"/>
    <w:rsid w:val="00BD228D"/>
    <w:rsid w:val="00BD4D52"/>
    <w:rsid w:val="00BD4EA7"/>
    <w:rsid w:val="00BD7419"/>
    <w:rsid w:val="00BE0614"/>
    <w:rsid w:val="00BE0DCB"/>
    <w:rsid w:val="00BE1B92"/>
    <w:rsid w:val="00BE4127"/>
    <w:rsid w:val="00BF02A0"/>
    <w:rsid w:val="00BF2494"/>
    <w:rsid w:val="00C06D71"/>
    <w:rsid w:val="00C07602"/>
    <w:rsid w:val="00C0789F"/>
    <w:rsid w:val="00C1134B"/>
    <w:rsid w:val="00C13481"/>
    <w:rsid w:val="00C1359C"/>
    <w:rsid w:val="00C13E8F"/>
    <w:rsid w:val="00C169C3"/>
    <w:rsid w:val="00C17B61"/>
    <w:rsid w:val="00C20CFD"/>
    <w:rsid w:val="00C20F4C"/>
    <w:rsid w:val="00C258D9"/>
    <w:rsid w:val="00C272C1"/>
    <w:rsid w:val="00C27A89"/>
    <w:rsid w:val="00C31880"/>
    <w:rsid w:val="00C339AC"/>
    <w:rsid w:val="00C37C34"/>
    <w:rsid w:val="00C4272A"/>
    <w:rsid w:val="00C44464"/>
    <w:rsid w:val="00C44F2E"/>
    <w:rsid w:val="00C510E5"/>
    <w:rsid w:val="00C52223"/>
    <w:rsid w:val="00C526AA"/>
    <w:rsid w:val="00C53443"/>
    <w:rsid w:val="00C55814"/>
    <w:rsid w:val="00C60A1E"/>
    <w:rsid w:val="00C60A72"/>
    <w:rsid w:val="00C60DD3"/>
    <w:rsid w:val="00C62A9A"/>
    <w:rsid w:val="00C6390D"/>
    <w:rsid w:val="00C63DA1"/>
    <w:rsid w:val="00C6408F"/>
    <w:rsid w:val="00C6415B"/>
    <w:rsid w:val="00C66149"/>
    <w:rsid w:val="00C66491"/>
    <w:rsid w:val="00C66BA7"/>
    <w:rsid w:val="00C67007"/>
    <w:rsid w:val="00C67109"/>
    <w:rsid w:val="00C67852"/>
    <w:rsid w:val="00C71050"/>
    <w:rsid w:val="00C751A1"/>
    <w:rsid w:val="00C75913"/>
    <w:rsid w:val="00C75A84"/>
    <w:rsid w:val="00C75F22"/>
    <w:rsid w:val="00C812A0"/>
    <w:rsid w:val="00C82719"/>
    <w:rsid w:val="00C86612"/>
    <w:rsid w:val="00C867C3"/>
    <w:rsid w:val="00C90163"/>
    <w:rsid w:val="00C9282E"/>
    <w:rsid w:val="00C94FEE"/>
    <w:rsid w:val="00C97477"/>
    <w:rsid w:val="00C976AB"/>
    <w:rsid w:val="00CA0690"/>
    <w:rsid w:val="00CA134F"/>
    <w:rsid w:val="00CA165A"/>
    <w:rsid w:val="00CA21F3"/>
    <w:rsid w:val="00CA3F0E"/>
    <w:rsid w:val="00CA4628"/>
    <w:rsid w:val="00CA4AE4"/>
    <w:rsid w:val="00CA4FE0"/>
    <w:rsid w:val="00CA5319"/>
    <w:rsid w:val="00CA5861"/>
    <w:rsid w:val="00CA653F"/>
    <w:rsid w:val="00CB033F"/>
    <w:rsid w:val="00CB34A4"/>
    <w:rsid w:val="00CB441F"/>
    <w:rsid w:val="00CB6268"/>
    <w:rsid w:val="00CB663B"/>
    <w:rsid w:val="00CB7C5C"/>
    <w:rsid w:val="00CC0DA5"/>
    <w:rsid w:val="00CC10A7"/>
    <w:rsid w:val="00CC35C9"/>
    <w:rsid w:val="00CC4425"/>
    <w:rsid w:val="00CC52F9"/>
    <w:rsid w:val="00CC5C32"/>
    <w:rsid w:val="00CC6AEB"/>
    <w:rsid w:val="00CC75BC"/>
    <w:rsid w:val="00CD23AD"/>
    <w:rsid w:val="00CD5255"/>
    <w:rsid w:val="00CD5A3C"/>
    <w:rsid w:val="00CD6C30"/>
    <w:rsid w:val="00CE00A0"/>
    <w:rsid w:val="00CE1AFD"/>
    <w:rsid w:val="00CE3BD6"/>
    <w:rsid w:val="00CE48A0"/>
    <w:rsid w:val="00CE689D"/>
    <w:rsid w:val="00CF18CE"/>
    <w:rsid w:val="00CF7886"/>
    <w:rsid w:val="00CF7BA6"/>
    <w:rsid w:val="00D0007F"/>
    <w:rsid w:val="00D0038A"/>
    <w:rsid w:val="00D00BF5"/>
    <w:rsid w:val="00D01371"/>
    <w:rsid w:val="00D014C2"/>
    <w:rsid w:val="00D01CF5"/>
    <w:rsid w:val="00D024D4"/>
    <w:rsid w:val="00D06408"/>
    <w:rsid w:val="00D066C0"/>
    <w:rsid w:val="00D06F4D"/>
    <w:rsid w:val="00D11ACF"/>
    <w:rsid w:val="00D14D4E"/>
    <w:rsid w:val="00D203D3"/>
    <w:rsid w:val="00D215DF"/>
    <w:rsid w:val="00D24D81"/>
    <w:rsid w:val="00D27FDA"/>
    <w:rsid w:val="00D35462"/>
    <w:rsid w:val="00D43CCA"/>
    <w:rsid w:val="00D44964"/>
    <w:rsid w:val="00D44975"/>
    <w:rsid w:val="00D47E99"/>
    <w:rsid w:val="00D509B3"/>
    <w:rsid w:val="00D55982"/>
    <w:rsid w:val="00D57E10"/>
    <w:rsid w:val="00D601AA"/>
    <w:rsid w:val="00D6434E"/>
    <w:rsid w:val="00D646F5"/>
    <w:rsid w:val="00D662E1"/>
    <w:rsid w:val="00D67201"/>
    <w:rsid w:val="00D70897"/>
    <w:rsid w:val="00D7388D"/>
    <w:rsid w:val="00D74BC7"/>
    <w:rsid w:val="00D7587D"/>
    <w:rsid w:val="00D80DC8"/>
    <w:rsid w:val="00D8210E"/>
    <w:rsid w:val="00D85C45"/>
    <w:rsid w:val="00D91500"/>
    <w:rsid w:val="00D922B0"/>
    <w:rsid w:val="00D93FC3"/>
    <w:rsid w:val="00D967EC"/>
    <w:rsid w:val="00DA1BE6"/>
    <w:rsid w:val="00DA3570"/>
    <w:rsid w:val="00DA4751"/>
    <w:rsid w:val="00DB1A84"/>
    <w:rsid w:val="00DB2681"/>
    <w:rsid w:val="00DB42D1"/>
    <w:rsid w:val="00DB4B99"/>
    <w:rsid w:val="00DB56B2"/>
    <w:rsid w:val="00DB7151"/>
    <w:rsid w:val="00DC0396"/>
    <w:rsid w:val="00DC341B"/>
    <w:rsid w:val="00DC52CE"/>
    <w:rsid w:val="00DD09B5"/>
    <w:rsid w:val="00DD4FC8"/>
    <w:rsid w:val="00DD500C"/>
    <w:rsid w:val="00DD7E68"/>
    <w:rsid w:val="00DE0F26"/>
    <w:rsid w:val="00DE172B"/>
    <w:rsid w:val="00DE22B0"/>
    <w:rsid w:val="00DE60D5"/>
    <w:rsid w:val="00DE6739"/>
    <w:rsid w:val="00DF107B"/>
    <w:rsid w:val="00DF1499"/>
    <w:rsid w:val="00DF39A7"/>
    <w:rsid w:val="00DF442A"/>
    <w:rsid w:val="00DF7B11"/>
    <w:rsid w:val="00E0028C"/>
    <w:rsid w:val="00E043BF"/>
    <w:rsid w:val="00E11C65"/>
    <w:rsid w:val="00E14E39"/>
    <w:rsid w:val="00E15194"/>
    <w:rsid w:val="00E16D62"/>
    <w:rsid w:val="00E20F67"/>
    <w:rsid w:val="00E21683"/>
    <w:rsid w:val="00E22A55"/>
    <w:rsid w:val="00E242B1"/>
    <w:rsid w:val="00E24BA1"/>
    <w:rsid w:val="00E32BAF"/>
    <w:rsid w:val="00E4085D"/>
    <w:rsid w:val="00E4620C"/>
    <w:rsid w:val="00E50398"/>
    <w:rsid w:val="00E51EA8"/>
    <w:rsid w:val="00E5238A"/>
    <w:rsid w:val="00E558AC"/>
    <w:rsid w:val="00E558C5"/>
    <w:rsid w:val="00E62595"/>
    <w:rsid w:val="00E64651"/>
    <w:rsid w:val="00E64CC3"/>
    <w:rsid w:val="00E65233"/>
    <w:rsid w:val="00E6561C"/>
    <w:rsid w:val="00E6735C"/>
    <w:rsid w:val="00E6759B"/>
    <w:rsid w:val="00E757AA"/>
    <w:rsid w:val="00E76F19"/>
    <w:rsid w:val="00E77229"/>
    <w:rsid w:val="00E812CF"/>
    <w:rsid w:val="00E8138C"/>
    <w:rsid w:val="00E81915"/>
    <w:rsid w:val="00E8283F"/>
    <w:rsid w:val="00E834DF"/>
    <w:rsid w:val="00E85D38"/>
    <w:rsid w:val="00E87775"/>
    <w:rsid w:val="00E90460"/>
    <w:rsid w:val="00E93D9D"/>
    <w:rsid w:val="00E94B69"/>
    <w:rsid w:val="00E94E95"/>
    <w:rsid w:val="00E9588F"/>
    <w:rsid w:val="00E96174"/>
    <w:rsid w:val="00E962D4"/>
    <w:rsid w:val="00E975C9"/>
    <w:rsid w:val="00E97D20"/>
    <w:rsid w:val="00EA05C7"/>
    <w:rsid w:val="00EA0950"/>
    <w:rsid w:val="00EA4518"/>
    <w:rsid w:val="00EA4D3F"/>
    <w:rsid w:val="00EA523A"/>
    <w:rsid w:val="00EA64EF"/>
    <w:rsid w:val="00EB2066"/>
    <w:rsid w:val="00EB37B8"/>
    <w:rsid w:val="00EB5B40"/>
    <w:rsid w:val="00EB60A3"/>
    <w:rsid w:val="00EC09E9"/>
    <w:rsid w:val="00EC107C"/>
    <w:rsid w:val="00EC1386"/>
    <w:rsid w:val="00EC2247"/>
    <w:rsid w:val="00EC713C"/>
    <w:rsid w:val="00ED0D6E"/>
    <w:rsid w:val="00ED7353"/>
    <w:rsid w:val="00EE0B72"/>
    <w:rsid w:val="00EE1C83"/>
    <w:rsid w:val="00EE306D"/>
    <w:rsid w:val="00EE6A03"/>
    <w:rsid w:val="00EE73FB"/>
    <w:rsid w:val="00EF194C"/>
    <w:rsid w:val="00EF20B7"/>
    <w:rsid w:val="00EF2B5C"/>
    <w:rsid w:val="00EF4957"/>
    <w:rsid w:val="00EF60D6"/>
    <w:rsid w:val="00EF68F0"/>
    <w:rsid w:val="00EF7CBE"/>
    <w:rsid w:val="00EF7FA9"/>
    <w:rsid w:val="00F05373"/>
    <w:rsid w:val="00F05B47"/>
    <w:rsid w:val="00F06F8A"/>
    <w:rsid w:val="00F078A7"/>
    <w:rsid w:val="00F10E33"/>
    <w:rsid w:val="00F11997"/>
    <w:rsid w:val="00F12116"/>
    <w:rsid w:val="00F1378B"/>
    <w:rsid w:val="00F17C13"/>
    <w:rsid w:val="00F17DB2"/>
    <w:rsid w:val="00F23E96"/>
    <w:rsid w:val="00F23EE4"/>
    <w:rsid w:val="00F247A6"/>
    <w:rsid w:val="00F272E0"/>
    <w:rsid w:val="00F27E29"/>
    <w:rsid w:val="00F35872"/>
    <w:rsid w:val="00F36B61"/>
    <w:rsid w:val="00F42F8B"/>
    <w:rsid w:val="00F437FD"/>
    <w:rsid w:val="00F44F7A"/>
    <w:rsid w:val="00F459E1"/>
    <w:rsid w:val="00F468EF"/>
    <w:rsid w:val="00F4738D"/>
    <w:rsid w:val="00F47DF8"/>
    <w:rsid w:val="00F53D23"/>
    <w:rsid w:val="00F5742C"/>
    <w:rsid w:val="00F61AD3"/>
    <w:rsid w:val="00F63708"/>
    <w:rsid w:val="00F63710"/>
    <w:rsid w:val="00F6656A"/>
    <w:rsid w:val="00F67781"/>
    <w:rsid w:val="00F70119"/>
    <w:rsid w:val="00F72DB3"/>
    <w:rsid w:val="00F737BF"/>
    <w:rsid w:val="00F76F83"/>
    <w:rsid w:val="00F8055F"/>
    <w:rsid w:val="00F80F3B"/>
    <w:rsid w:val="00F87908"/>
    <w:rsid w:val="00F901D6"/>
    <w:rsid w:val="00F908CA"/>
    <w:rsid w:val="00F91478"/>
    <w:rsid w:val="00F97E5E"/>
    <w:rsid w:val="00FA2693"/>
    <w:rsid w:val="00FA4C29"/>
    <w:rsid w:val="00FA5B36"/>
    <w:rsid w:val="00FA639B"/>
    <w:rsid w:val="00FB252C"/>
    <w:rsid w:val="00FB4842"/>
    <w:rsid w:val="00FB67BA"/>
    <w:rsid w:val="00FB7764"/>
    <w:rsid w:val="00FC0F2E"/>
    <w:rsid w:val="00FC428F"/>
    <w:rsid w:val="00FC43E7"/>
    <w:rsid w:val="00FC45D7"/>
    <w:rsid w:val="00FC6457"/>
    <w:rsid w:val="00FC67B3"/>
    <w:rsid w:val="00FC743C"/>
    <w:rsid w:val="00FD1436"/>
    <w:rsid w:val="00FD21F8"/>
    <w:rsid w:val="00FD2826"/>
    <w:rsid w:val="00FD52AD"/>
    <w:rsid w:val="00FE090D"/>
    <w:rsid w:val="00FE203E"/>
    <w:rsid w:val="00FE4C5B"/>
    <w:rsid w:val="00FE6789"/>
    <w:rsid w:val="00FF03C9"/>
    <w:rsid w:val="00FF0548"/>
    <w:rsid w:val="00FF2163"/>
    <w:rsid w:val="00FF7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0c8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8138C"/>
    <w:pPr>
      <w:spacing w:after="200" w:line="276" w:lineRule="auto"/>
    </w:pPr>
    <w:rPr>
      <w:sz w:val="22"/>
      <w:szCs w:val="22"/>
      <w:lang w:eastAsia="en-US"/>
    </w:rPr>
  </w:style>
  <w:style w:type="paragraph" w:styleId="Nagwek1">
    <w:name w:val="heading 1"/>
    <w:basedOn w:val="Normalny"/>
    <w:next w:val="Normalny"/>
    <w:link w:val="Nagwek1Znak"/>
    <w:uiPriority w:val="9"/>
    <w:qFormat/>
    <w:rsid w:val="0067073E"/>
    <w:pPr>
      <w:keepNext/>
      <w:shd w:val="clear" w:color="auto" w:fill="1F497D"/>
      <w:spacing w:before="240" w:after="60"/>
      <w:outlineLvl w:val="0"/>
    </w:pPr>
    <w:rPr>
      <w:rFonts w:ascii="Cambria" w:eastAsia="Times New Roman" w:hAnsi="Cambria"/>
      <w:b/>
      <w:bCs/>
      <w:color w:val="FFFFFF"/>
      <w:kern w:val="32"/>
      <w:sz w:val="28"/>
      <w:szCs w:val="32"/>
    </w:rPr>
  </w:style>
  <w:style w:type="paragraph" w:styleId="Nagwek2">
    <w:name w:val="heading 2"/>
    <w:basedOn w:val="Normalny"/>
    <w:next w:val="Normalny"/>
    <w:link w:val="Nagwek2Znak"/>
    <w:uiPriority w:val="9"/>
    <w:qFormat/>
    <w:rsid w:val="0067073E"/>
    <w:pPr>
      <w:keepNext/>
      <w:shd w:val="clear" w:color="auto" w:fill="B8CCE4"/>
      <w:spacing w:before="240" w:after="60"/>
      <w:jc w:val="center"/>
      <w:outlineLvl w:val="1"/>
    </w:pPr>
    <w:rPr>
      <w:rFonts w:eastAsia="Times New Roman"/>
      <w:b/>
      <w:bCs/>
      <w:iCs/>
      <w:color w:val="1F497D"/>
      <w:sz w:val="28"/>
      <w:szCs w:val="28"/>
    </w:rPr>
  </w:style>
  <w:style w:type="paragraph" w:styleId="Nagwek3">
    <w:name w:val="heading 3"/>
    <w:basedOn w:val="Normalny"/>
    <w:next w:val="Normalny"/>
    <w:link w:val="Nagwek3Znak"/>
    <w:uiPriority w:val="9"/>
    <w:qFormat/>
    <w:rsid w:val="004C3982"/>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footnote text"/>
    <w:basedOn w:val="Normalny"/>
    <w:link w:val="TekstprzypisudolnegoZnak"/>
    <w:uiPriority w:val="99"/>
    <w:rsid w:val="00AC372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AC3726"/>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C3726"/>
    <w:rPr>
      <w:vertAlign w:val="superscript"/>
    </w:rPr>
  </w:style>
  <w:style w:type="paragraph" w:styleId="Tekstdymka">
    <w:name w:val="Balloon Text"/>
    <w:basedOn w:val="Normalny"/>
    <w:link w:val="TekstdymkaZnak"/>
    <w:uiPriority w:val="99"/>
    <w:semiHidden/>
    <w:unhideWhenUsed/>
    <w:rsid w:val="00D6434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6434E"/>
    <w:rPr>
      <w:rFonts w:ascii="Tahoma" w:hAnsi="Tahoma" w:cs="Tahoma"/>
      <w:sz w:val="16"/>
      <w:szCs w:val="16"/>
      <w:lang w:eastAsia="en-US"/>
    </w:rPr>
  </w:style>
  <w:style w:type="table" w:styleId="Tabela-Siatka">
    <w:name w:val="Table Grid"/>
    <w:basedOn w:val="Standardowy"/>
    <w:uiPriority w:val="59"/>
    <w:rsid w:val="003D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5019"/>
    <w:rPr>
      <w:sz w:val="20"/>
      <w:szCs w:val="20"/>
      <w:lang w:val="x-none"/>
    </w:rPr>
  </w:style>
  <w:style w:type="character" w:customStyle="1" w:styleId="TekstprzypisukocowegoZnak">
    <w:name w:val="Tekst przypisu końcowego Znak"/>
    <w:link w:val="Tekstprzypisukocowego"/>
    <w:uiPriority w:val="99"/>
    <w:semiHidden/>
    <w:rsid w:val="007C5019"/>
    <w:rPr>
      <w:lang w:eastAsia="en-US"/>
    </w:rPr>
  </w:style>
  <w:style w:type="character" w:styleId="Odwoanieprzypisukocowego">
    <w:name w:val="endnote reference"/>
    <w:uiPriority w:val="99"/>
    <w:semiHidden/>
    <w:unhideWhenUsed/>
    <w:rsid w:val="007C5019"/>
    <w:rPr>
      <w:vertAlign w:val="superscript"/>
    </w:rPr>
  </w:style>
  <w:style w:type="paragraph" w:styleId="Tekstpodstawowy">
    <w:name w:val="Body Text"/>
    <w:basedOn w:val="Normalny"/>
    <w:link w:val="TekstpodstawowyZnak"/>
    <w:uiPriority w:val="99"/>
    <w:unhideWhenUsed/>
    <w:rsid w:val="003E6605"/>
    <w:pPr>
      <w:spacing w:after="120"/>
    </w:pPr>
    <w:rPr>
      <w:lang w:val="x-none"/>
    </w:rPr>
  </w:style>
  <w:style w:type="character" w:customStyle="1" w:styleId="TekstpodstawowyZnak">
    <w:name w:val="Tekst podstawowy Znak"/>
    <w:link w:val="Tekstpodstawowy"/>
    <w:uiPriority w:val="99"/>
    <w:rsid w:val="003E6605"/>
    <w:rPr>
      <w:sz w:val="22"/>
      <w:szCs w:val="22"/>
      <w:lang w:eastAsia="en-US"/>
    </w:rPr>
  </w:style>
  <w:style w:type="paragraph" w:styleId="Stopka">
    <w:name w:val="footer"/>
    <w:basedOn w:val="Normalny"/>
    <w:link w:val="StopkaZnak"/>
    <w:uiPriority w:val="99"/>
    <w:unhideWhenUsed/>
    <w:rsid w:val="00722C0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722C00"/>
    <w:rPr>
      <w:rFonts w:ascii="Times New Roman" w:eastAsia="Times New Roman" w:hAnsi="Times New Roman"/>
      <w:sz w:val="24"/>
      <w:szCs w:val="24"/>
    </w:rPr>
  </w:style>
  <w:style w:type="paragraph" w:styleId="Nagwek">
    <w:name w:val="header"/>
    <w:basedOn w:val="Normalny"/>
    <w:link w:val="NagwekZnak"/>
    <w:uiPriority w:val="99"/>
    <w:unhideWhenUsed/>
    <w:rsid w:val="00BD7419"/>
    <w:pPr>
      <w:tabs>
        <w:tab w:val="center" w:pos="4536"/>
        <w:tab w:val="right" w:pos="9072"/>
      </w:tabs>
    </w:pPr>
  </w:style>
  <w:style w:type="character" w:customStyle="1" w:styleId="NagwekZnak">
    <w:name w:val="Nagłówek Znak"/>
    <w:link w:val="Nagwek"/>
    <w:uiPriority w:val="99"/>
    <w:rsid w:val="00BD7419"/>
    <w:rPr>
      <w:sz w:val="22"/>
      <w:szCs w:val="22"/>
      <w:lang w:eastAsia="en-US"/>
    </w:rPr>
  </w:style>
  <w:style w:type="character" w:styleId="Odwoaniedokomentarza">
    <w:name w:val="annotation reference"/>
    <w:uiPriority w:val="99"/>
    <w:semiHidden/>
    <w:unhideWhenUsed/>
    <w:rsid w:val="00512266"/>
    <w:rPr>
      <w:sz w:val="16"/>
      <w:szCs w:val="16"/>
    </w:rPr>
  </w:style>
  <w:style w:type="paragraph" w:styleId="Tekstkomentarza">
    <w:name w:val="annotation text"/>
    <w:basedOn w:val="Normalny"/>
    <w:link w:val="TekstkomentarzaZnak"/>
    <w:uiPriority w:val="99"/>
    <w:semiHidden/>
    <w:unhideWhenUsed/>
    <w:rsid w:val="00512266"/>
    <w:rPr>
      <w:sz w:val="20"/>
      <w:szCs w:val="20"/>
    </w:rPr>
  </w:style>
  <w:style w:type="character" w:customStyle="1" w:styleId="TekstkomentarzaZnak">
    <w:name w:val="Tekst komentarza Znak"/>
    <w:link w:val="Tekstkomentarza"/>
    <w:uiPriority w:val="99"/>
    <w:semiHidden/>
    <w:rsid w:val="00512266"/>
    <w:rPr>
      <w:lang w:eastAsia="en-US"/>
    </w:rPr>
  </w:style>
  <w:style w:type="paragraph" w:styleId="Tematkomentarza">
    <w:name w:val="annotation subject"/>
    <w:basedOn w:val="Tekstkomentarza"/>
    <w:next w:val="Tekstkomentarza"/>
    <w:link w:val="TematkomentarzaZnak"/>
    <w:uiPriority w:val="99"/>
    <w:semiHidden/>
    <w:unhideWhenUsed/>
    <w:rsid w:val="00512266"/>
    <w:rPr>
      <w:b/>
      <w:bCs/>
    </w:rPr>
  </w:style>
  <w:style w:type="character" w:customStyle="1" w:styleId="TematkomentarzaZnak">
    <w:name w:val="Temat komentarza Znak"/>
    <w:link w:val="Tematkomentarza"/>
    <w:uiPriority w:val="99"/>
    <w:semiHidden/>
    <w:rsid w:val="00512266"/>
    <w:rPr>
      <w:b/>
      <w:bCs/>
      <w:lang w:eastAsia="en-US"/>
    </w:rPr>
  </w:style>
  <w:style w:type="paragraph" w:customStyle="1" w:styleId="Default">
    <w:name w:val="Default"/>
    <w:rsid w:val="009332D8"/>
    <w:pPr>
      <w:autoSpaceDE w:val="0"/>
      <w:autoSpaceDN w:val="0"/>
      <w:adjustRightInd w:val="0"/>
    </w:pPr>
    <w:rPr>
      <w:rFonts w:ascii="Arial" w:hAnsi="Arial" w:cs="Arial"/>
      <w:color w:val="000000"/>
      <w:sz w:val="24"/>
      <w:szCs w:val="24"/>
      <w:lang w:eastAsia="en-US"/>
    </w:rPr>
  </w:style>
  <w:style w:type="paragraph" w:styleId="Tytu">
    <w:name w:val="Title"/>
    <w:basedOn w:val="Normalny"/>
    <w:next w:val="Normalny"/>
    <w:link w:val="TytuZnak"/>
    <w:uiPriority w:val="10"/>
    <w:qFormat/>
    <w:rsid w:val="009B5771"/>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9B5771"/>
    <w:rPr>
      <w:rFonts w:ascii="Calibri Light" w:eastAsia="Times New Roman" w:hAnsi="Calibri Light"/>
      <w:spacing w:val="-10"/>
      <w:kern w:val="28"/>
      <w:sz w:val="56"/>
      <w:szCs w:val="56"/>
      <w:lang w:eastAsia="en-US"/>
    </w:rPr>
  </w:style>
  <w:style w:type="character" w:customStyle="1" w:styleId="Nagwek1Znak">
    <w:name w:val="Nagłówek 1 Znak"/>
    <w:link w:val="Nagwek1"/>
    <w:uiPriority w:val="9"/>
    <w:rsid w:val="0067073E"/>
    <w:rPr>
      <w:rFonts w:ascii="Cambria" w:eastAsia="Times New Roman" w:hAnsi="Cambria"/>
      <w:b/>
      <w:bCs/>
      <w:color w:val="FFFFFF"/>
      <w:kern w:val="32"/>
      <w:sz w:val="28"/>
      <w:szCs w:val="32"/>
      <w:shd w:val="clear" w:color="auto" w:fill="1F497D"/>
      <w:lang w:eastAsia="en-US"/>
    </w:rPr>
  </w:style>
  <w:style w:type="character" w:customStyle="1" w:styleId="Nagwek2Znak">
    <w:name w:val="Nagłówek 2 Znak"/>
    <w:link w:val="Nagwek2"/>
    <w:uiPriority w:val="9"/>
    <w:rsid w:val="0067073E"/>
    <w:rPr>
      <w:rFonts w:eastAsia="Times New Roman"/>
      <w:b/>
      <w:bCs/>
      <w:iCs/>
      <w:color w:val="1F497D"/>
      <w:sz w:val="28"/>
      <w:szCs w:val="28"/>
      <w:shd w:val="clear" w:color="auto" w:fill="B8CCE4"/>
      <w:lang w:eastAsia="en-US"/>
    </w:rPr>
  </w:style>
  <w:style w:type="paragraph" w:styleId="Spistreci1">
    <w:name w:val="toc 1"/>
    <w:basedOn w:val="Normalny"/>
    <w:next w:val="Normalny"/>
    <w:autoRedefine/>
    <w:uiPriority w:val="39"/>
    <w:unhideWhenUsed/>
    <w:rsid w:val="0067073E"/>
  </w:style>
  <w:style w:type="paragraph" w:styleId="Spistreci2">
    <w:name w:val="toc 2"/>
    <w:basedOn w:val="Normalny"/>
    <w:next w:val="Normalny"/>
    <w:autoRedefine/>
    <w:uiPriority w:val="39"/>
    <w:unhideWhenUsed/>
    <w:rsid w:val="0067073E"/>
    <w:pPr>
      <w:ind w:left="220"/>
    </w:pPr>
  </w:style>
  <w:style w:type="character" w:styleId="Hipercze">
    <w:name w:val="Hyperlink"/>
    <w:uiPriority w:val="99"/>
    <w:unhideWhenUsed/>
    <w:rsid w:val="0067073E"/>
    <w:rPr>
      <w:color w:val="0000FF"/>
      <w:u w:val="single"/>
    </w:rPr>
  </w:style>
  <w:style w:type="paragraph" w:styleId="Nagwekspisutreci">
    <w:name w:val="TOC Heading"/>
    <w:basedOn w:val="Nagwek1"/>
    <w:next w:val="Normalny"/>
    <w:uiPriority w:val="39"/>
    <w:qFormat/>
    <w:rsid w:val="0067073E"/>
    <w:pPr>
      <w:keepLines/>
      <w:shd w:val="clear" w:color="auto" w:fill="auto"/>
      <w:spacing w:before="480" w:after="0"/>
      <w:outlineLvl w:val="9"/>
    </w:pPr>
    <w:rPr>
      <w:color w:val="365F91"/>
      <w:kern w:val="0"/>
      <w:szCs w:val="28"/>
      <w:lang w:eastAsia="pl-PL"/>
    </w:rPr>
  </w:style>
  <w:style w:type="paragraph" w:styleId="Legenda">
    <w:name w:val="caption"/>
    <w:basedOn w:val="Normalny"/>
    <w:next w:val="Normalny"/>
    <w:uiPriority w:val="35"/>
    <w:qFormat/>
    <w:rsid w:val="001469ED"/>
    <w:pPr>
      <w:spacing w:after="0" w:line="240" w:lineRule="auto"/>
    </w:pPr>
    <w:rPr>
      <w:b/>
      <w:bCs/>
      <w:color w:val="1F497D"/>
      <w:sz w:val="20"/>
      <w:szCs w:val="20"/>
    </w:rPr>
  </w:style>
  <w:style w:type="paragraph" w:styleId="Spisilustracji">
    <w:name w:val="table of figures"/>
    <w:basedOn w:val="Normalny"/>
    <w:next w:val="Normalny"/>
    <w:uiPriority w:val="99"/>
    <w:unhideWhenUsed/>
    <w:rsid w:val="0075352C"/>
  </w:style>
  <w:style w:type="paragraph" w:customStyle="1" w:styleId="D2CC0B6B44A644CB9165D72AE26434DF">
    <w:name w:val="D2CC0B6B44A644CB9165D72AE26434DF"/>
    <w:rsid w:val="005A36AC"/>
    <w:pPr>
      <w:spacing w:after="200" w:line="276" w:lineRule="auto"/>
    </w:pPr>
    <w:rPr>
      <w:rFonts w:eastAsia="Times New Roman"/>
      <w:sz w:val="22"/>
      <w:szCs w:val="22"/>
    </w:rPr>
  </w:style>
  <w:style w:type="paragraph" w:styleId="Podtytu">
    <w:name w:val="Subtitle"/>
    <w:basedOn w:val="Normalny"/>
    <w:next w:val="Normalny"/>
    <w:link w:val="PodtytuZnak"/>
    <w:uiPriority w:val="11"/>
    <w:qFormat/>
    <w:rsid w:val="005A36AC"/>
    <w:pPr>
      <w:numPr>
        <w:ilvl w:val="1"/>
      </w:numPr>
    </w:pPr>
    <w:rPr>
      <w:rFonts w:ascii="Cambria" w:eastAsia="Times New Roman" w:hAnsi="Cambria"/>
      <w:i/>
      <w:iCs/>
      <w:color w:val="4F81BD"/>
      <w:spacing w:val="15"/>
      <w:sz w:val="24"/>
      <w:szCs w:val="24"/>
      <w:lang w:eastAsia="pl-PL"/>
    </w:rPr>
  </w:style>
  <w:style w:type="character" w:customStyle="1" w:styleId="PodtytuZnak">
    <w:name w:val="Podtytuł Znak"/>
    <w:link w:val="Podtytu"/>
    <w:uiPriority w:val="11"/>
    <w:rsid w:val="005A36AC"/>
    <w:rPr>
      <w:rFonts w:ascii="Cambria" w:eastAsia="Times New Roman" w:hAnsi="Cambria"/>
      <w:i/>
      <w:iCs/>
      <w:color w:val="4F81BD"/>
      <w:spacing w:val="15"/>
      <w:sz w:val="24"/>
      <w:szCs w:val="24"/>
    </w:rPr>
  </w:style>
  <w:style w:type="paragraph" w:styleId="Bezodstpw">
    <w:name w:val="No Spacing"/>
    <w:link w:val="BezodstpwZnak"/>
    <w:uiPriority w:val="1"/>
    <w:qFormat/>
    <w:rsid w:val="005A36AC"/>
    <w:rPr>
      <w:rFonts w:eastAsia="Times New Roman"/>
      <w:sz w:val="22"/>
      <w:szCs w:val="22"/>
    </w:rPr>
  </w:style>
  <w:style w:type="character" w:customStyle="1" w:styleId="BezodstpwZnak">
    <w:name w:val="Bez odstępów Znak"/>
    <w:link w:val="Bezodstpw"/>
    <w:uiPriority w:val="1"/>
    <w:rsid w:val="005A36AC"/>
    <w:rPr>
      <w:rFonts w:eastAsia="Times New Roman"/>
      <w:sz w:val="22"/>
      <w:szCs w:val="22"/>
    </w:rPr>
  </w:style>
  <w:style w:type="character" w:customStyle="1" w:styleId="Znakiprzypiswdolnych">
    <w:name w:val="Znaki przypisów dolnych"/>
    <w:rsid w:val="005419C5"/>
    <w:rPr>
      <w:vertAlign w:val="superscript"/>
    </w:rPr>
  </w:style>
  <w:style w:type="character" w:customStyle="1" w:styleId="Nagwek3Znak">
    <w:name w:val="Nagłówek 3 Znak"/>
    <w:link w:val="Nagwek3"/>
    <w:uiPriority w:val="9"/>
    <w:semiHidden/>
    <w:rsid w:val="004C3982"/>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8138C"/>
    <w:pPr>
      <w:spacing w:after="200" w:line="276" w:lineRule="auto"/>
    </w:pPr>
    <w:rPr>
      <w:sz w:val="22"/>
      <w:szCs w:val="22"/>
      <w:lang w:eastAsia="en-US"/>
    </w:rPr>
  </w:style>
  <w:style w:type="paragraph" w:styleId="Nagwek1">
    <w:name w:val="heading 1"/>
    <w:basedOn w:val="Normalny"/>
    <w:next w:val="Normalny"/>
    <w:link w:val="Nagwek1Znak"/>
    <w:uiPriority w:val="9"/>
    <w:qFormat/>
    <w:rsid w:val="0067073E"/>
    <w:pPr>
      <w:keepNext/>
      <w:shd w:val="clear" w:color="auto" w:fill="1F497D"/>
      <w:spacing w:before="240" w:after="60"/>
      <w:outlineLvl w:val="0"/>
    </w:pPr>
    <w:rPr>
      <w:rFonts w:ascii="Cambria" w:eastAsia="Times New Roman" w:hAnsi="Cambria"/>
      <w:b/>
      <w:bCs/>
      <w:color w:val="FFFFFF"/>
      <w:kern w:val="32"/>
      <w:sz w:val="28"/>
      <w:szCs w:val="32"/>
    </w:rPr>
  </w:style>
  <w:style w:type="paragraph" w:styleId="Nagwek2">
    <w:name w:val="heading 2"/>
    <w:basedOn w:val="Normalny"/>
    <w:next w:val="Normalny"/>
    <w:link w:val="Nagwek2Znak"/>
    <w:uiPriority w:val="9"/>
    <w:qFormat/>
    <w:rsid w:val="0067073E"/>
    <w:pPr>
      <w:keepNext/>
      <w:shd w:val="clear" w:color="auto" w:fill="B8CCE4"/>
      <w:spacing w:before="240" w:after="60"/>
      <w:jc w:val="center"/>
      <w:outlineLvl w:val="1"/>
    </w:pPr>
    <w:rPr>
      <w:rFonts w:eastAsia="Times New Roman"/>
      <w:b/>
      <w:bCs/>
      <w:iCs/>
      <w:color w:val="1F497D"/>
      <w:sz w:val="28"/>
      <w:szCs w:val="28"/>
    </w:rPr>
  </w:style>
  <w:style w:type="paragraph" w:styleId="Nagwek3">
    <w:name w:val="heading 3"/>
    <w:basedOn w:val="Normalny"/>
    <w:next w:val="Normalny"/>
    <w:link w:val="Nagwek3Znak"/>
    <w:uiPriority w:val="9"/>
    <w:qFormat/>
    <w:rsid w:val="004C3982"/>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footnote text"/>
    <w:basedOn w:val="Normalny"/>
    <w:link w:val="TekstprzypisudolnegoZnak"/>
    <w:uiPriority w:val="99"/>
    <w:rsid w:val="00AC372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AC3726"/>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C3726"/>
    <w:rPr>
      <w:vertAlign w:val="superscript"/>
    </w:rPr>
  </w:style>
  <w:style w:type="paragraph" w:styleId="Tekstdymka">
    <w:name w:val="Balloon Text"/>
    <w:basedOn w:val="Normalny"/>
    <w:link w:val="TekstdymkaZnak"/>
    <w:uiPriority w:val="99"/>
    <w:semiHidden/>
    <w:unhideWhenUsed/>
    <w:rsid w:val="00D6434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6434E"/>
    <w:rPr>
      <w:rFonts w:ascii="Tahoma" w:hAnsi="Tahoma" w:cs="Tahoma"/>
      <w:sz w:val="16"/>
      <w:szCs w:val="16"/>
      <w:lang w:eastAsia="en-US"/>
    </w:rPr>
  </w:style>
  <w:style w:type="table" w:styleId="Tabela-Siatka">
    <w:name w:val="Table Grid"/>
    <w:basedOn w:val="Standardowy"/>
    <w:uiPriority w:val="59"/>
    <w:rsid w:val="003D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5019"/>
    <w:rPr>
      <w:sz w:val="20"/>
      <w:szCs w:val="20"/>
      <w:lang w:val="x-none"/>
    </w:rPr>
  </w:style>
  <w:style w:type="character" w:customStyle="1" w:styleId="TekstprzypisukocowegoZnak">
    <w:name w:val="Tekst przypisu końcowego Znak"/>
    <w:link w:val="Tekstprzypisukocowego"/>
    <w:uiPriority w:val="99"/>
    <w:semiHidden/>
    <w:rsid w:val="007C5019"/>
    <w:rPr>
      <w:lang w:eastAsia="en-US"/>
    </w:rPr>
  </w:style>
  <w:style w:type="character" w:styleId="Odwoanieprzypisukocowego">
    <w:name w:val="endnote reference"/>
    <w:uiPriority w:val="99"/>
    <w:semiHidden/>
    <w:unhideWhenUsed/>
    <w:rsid w:val="007C5019"/>
    <w:rPr>
      <w:vertAlign w:val="superscript"/>
    </w:rPr>
  </w:style>
  <w:style w:type="paragraph" w:styleId="Tekstpodstawowy">
    <w:name w:val="Body Text"/>
    <w:basedOn w:val="Normalny"/>
    <w:link w:val="TekstpodstawowyZnak"/>
    <w:uiPriority w:val="99"/>
    <w:unhideWhenUsed/>
    <w:rsid w:val="003E6605"/>
    <w:pPr>
      <w:spacing w:after="120"/>
    </w:pPr>
    <w:rPr>
      <w:lang w:val="x-none"/>
    </w:rPr>
  </w:style>
  <w:style w:type="character" w:customStyle="1" w:styleId="TekstpodstawowyZnak">
    <w:name w:val="Tekst podstawowy Znak"/>
    <w:link w:val="Tekstpodstawowy"/>
    <w:uiPriority w:val="99"/>
    <w:rsid w:val="003E6605"/>
    <w:rPr>
      <w:sz w:val="22"/>
      <w:szCs w:val="22"/>
      <w:lang w:eastAsia="en-US"/>
    </w:rPr>
  </w:style>
  <w:style w:type="paragraph" w:styleId="Stopka">
    <w:name w:val="footer"/>
    <w:basedOn w:val="Normalny"/>
    <w:link w:val="StopkaZnak"/>
    <w:uiPriority w:val="99"/>
    <w:unhideWhenUsed/>
    <w:rsid w:val="00722C0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722C00"/>
    <w:rPr>
      <w:rFonts w:ascii="Times New Roman" w:eastAsia="Times New Roman" w:hAnsi="Times New Roman"/>
      <w:sz w:val="24"/>
      <w:szCs w:val="24"/>
    </w:rPr>
  </w:style>
  <w:style w:type="paragraph" w:styleId="Nagwek">
    <w:name w:val="header"/>
    <w:basedOn w:val="Normalny"/>
    <w:link w:val="NagwekZnak"/>
    <w:uiPriority w:val="99"/>
    <w:unhideWhenUsed/>
    <w:rsid w:val="00BD7419"/>
    <w:pPr>
      <w:tabs>
        <w:tab w:val="center" w:pos="4536"/>
        <w:tab w:val="right" w:pos="9072"/>
      </w:tabs>
    </w:pPr>
  </w:style>
  <w:style w:type="character" w:customStyle="1" w:styleId="NagwekZnak">
    <w:name w:val="Nagłówek Znak"/>
    <w:link w:val="Nagwek"/>
    <w:uiPriority w:val="99"/>
    <w:rsid w:val="00BD7419"/>
    <w:rPr>
      <w:sz w:val="22"/>
      <w:szCs w:val="22"/>
      <w:lang w:eastAsia="en-US"/>
    </w:rPr>
  </w:style>
  <w:style w:type="character" w:styleId="Odwoaniedokomentarza">
    <w:name w:val="annotation reference"/>
    <w:uiPriority w:val="99"/>
    <w:semiHidden/>
    <w:unhideWhenUsed/>
    <w:rsid w:val="00512266"/>
    <w:rPr>
      <w:sz w:val="16"/>
      <w:szCs w:val="16"/>
    </w:rPr>
  </w:style>
  <w:style w:type="paragraph" w:styleId="Tekstkomentarza">
    <w:name w:val="annotation text"/>
    <w:basedOn w:val="Normalny"/>
    <w:link w:val="TekstkomentarzaZnak"/>
    <w:uiPriority w:val="99"/>
    <w:semiHidden/>
    <w:unhideWhenUsed/>
    <w:rsid w:val="00512266"/>
    <w:rPr>
      <w:sz w:val="20"/>
      <w:szCs w:val="20"/>
    </w:rPr>
  </w:style>
  <w:style w:type="character" w:customStyle="1" w:styleId="TekstkomentarzaZnak">
    <w:name w:val="Tekst komentarza Znak"/>
    <w:link w:val="Tekstkomentarza"/>
    <w:uiPriority w:val="99"/>
    <w:semiHidden/>
    <w:rsid w:val="00512266"/>
    <w:rPr>
      <w:lang w:eastAsia="en-US"/>
    </w:rPr>
  </w:style>
  <w:style w:type="paragraph" w:styleId="Tematkomentarza">
    <w:name w:val="annotation subject"/>
    <w:basedOn w:val="Tekstkomentarza"/>
    <w:next w:val="Tekstkomentarza"/>
    <w:link w:val="TematkomentarzaZnak"/>
    <w:uiPriority w:val="99"/>
    <w:semiHidden/>
    <w:unhideWhenUsed/>
    <w:rsid w:val="00512266"/>
    <w:rPr>
      <w:b/>
      <w:bCs/>
    </w:rPr>
  </w:style>
  <w:style w:type="character" w:customStyle="1" w:styleId="TematkomentarzaZnak">
    <w:name w:val="Temat komentarza Znak"/>
    <w:link w:val="Tematkomentarza"/>
    <w:uiPriority w:val="99"/>
    <w:semiHidden/>
    <w:rsid w:val="00512266"/>
    <w:rPr>
      <w:b/>
      <w:bCs/>
      <w:lang w:eastAsia="en-US"/>
    </w:rPr>
  </w:style>
  <w:style w:type="paragraph" w:customStyle="1" w:styleId="Default">
    <w:name w:val="Default"/>
    <w:rsid w:val="009332D8"/>
    <w:pPr>
      <w:autoSpaceDE w:val="0"/>
      <w:autoSpaceDN w:val="0"/>
      <w:adjustRightInd w:val="0"/>
    </w:pPr>
    <w:rPr>
      <w:rFonts w:ascii="Arial" w:hAnsi="Arial" w:cs="Arial"/>
      <w:color w:val="000000"/>
      <w:sz w:val="24"/>
      <w:szCs w:val="24"/>
      <w:lang w:eastAsia="en-US"/>
    </w:rPr>
  </w:style>
  <w:style w:type="paragraph" w:styleId="Tytu">
    <w:name w:val="Title"/>
    <w:basedOn w:val="Normalny"/>
    <w:next w:val="Normalny"/>
    <w:link w:val="TytuZnak"/>
    <w:uiPriority w:val="10"/>
    <w:qFormat/>
    <w:rsid w:val="009B5771"/>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9B5771"/>
    <w:rPr>
      <w:rFonts w:ascii="Calibri Light" w:eastAsia="Times New Roman" w:hAnsi="Calibri Light"/>
      <w:spacing w:val="-10"/>
      <w:kern w:val="28"/>
      <w:sz w:val="56"/>
      <w:szCs w:val="56"/>
      <w:lang w:eastAsia="en-US"/>
    </w:rPr>
  </w:style>
  <w:style w:type="character" w:customStyle="1" w:styleId="Nagwek1Znak">
    <w:name w:val="Nagłówek 1 Znak"/>
    <w:link w:val="Nagwek1"/>
    <w:uiPriority w:val="9"/>
    <w:rsid w:val="0067073E"/>
    <w:rPr>
      <w:rFonts w:ascii="Cambria" w:eastAsia="Times New Roman" w:hAnsi="Cambria"/>
      <w:b/>
      <w:bCs/>
      <w:color w:val="FFFFFF"/>
      <w:kern w:val="32"/>
      <w:sz w:val="28"/>
      <w:szCs w:val="32"/>
      <w:shd w:val="clear" w:color="auto" w:fill="1F497D"/>
      <w:lang w:eastAsia="en-US"/>
    </w:rPr>
  </w:style>
  <w:style w:type="character" w:customStyle="1" w:styleId="Nagwek2Znak">
    <w:name w:val="Nagłówek 2 Znak"/>
    <w:link w:val="Nagwek2"/>
    <w:uiPriority w:val="9"/>
    <w:rsid w:val="0067073E"/>
    <w:rPr>
      <w:rFonts w:eastAsia="Times New Roman"/>
      <w:b/>
      <w:bCs/>
      <w:iCs/>
      <w:color w:val="1F497D"/>
      <w:sz w:val="28"/>
      <w:szCs w:val="28"/>
      <w:shd w:val="clear" w:color="auto" w:fill="B8CCE4"/>
      <w:lang w:eastAsia="en-US"/>
    </w:rPr>
  </w:style>
  <w:style w:type="paragraph" w:styleId="Spistreci1">
    <w:name w:val="toc 1"/>
    <w:basedOn w:val="Normalny"/>
    <w:next w:val="Normalny"/>
    <w:autoRedefine/>
    <w:uiPriority w:val="39"/>
    <w:unhideWhenUsed/>
    <w:rsid w:val="0067073E"/>
  </w:style>
  <w:style w:type="paragraph" w:styleId="Spistreci2">
    <w:name w:val="toc 2"/>
    <w:basedOn w:val="Normalny"/>
    <w:next w:val="Normalny"/>
    <w:autoRedefine/>
    <w:uiPriority w:val="39"/>
    <w:unhideWhenUsed/>
    <w:rsid w:val="0067073E"/>
    <w:pPr>
      <w:ind w:left="220"/>
    </w:pPr>
  </w:style>
  <w:style w:type="character" w:styleId="Hipercze">
    <w:name w:val="Hyperlink"/>
    <w:uiPriority w:val="99"/>
    <w:unhideWhenUsed/>
    <w:rsid w:val="0067073E"/>
    <w:rPr>
      <w:color w:val="0000FF"/>
      <w:u w:val="single"/>
    </w:rPr>
  </w:style>
  <w:style w:type="paragraph" w:styleId="Nagwekspisutreci">
    <w:name w:val="TOC Heading"/>
    <w:basedOn w:val="Nagwek1"/>
    <w:next w:val="Normalny"/>
    <w:uiPriority w:val="39"/>
    <w:qFormat/>
    <w:rsid w:val="0067073E"/>
    <w:pPr>
      <w:keepLines/>
      <w:shd w:val="clear" w:color="auto" w:fill="auto"/>
      <w:spacing w:before="480" w:after="0"/>
      <w:outlineLvl w:val="9"/>
    </w:pPr>
    <w:rPr>
      <w:color w:val="365F91"/>
      <w:kern w:val="0"/>
      <w:szCs w:val="28"/>
      <w:lang w:eastAsia="pl-PL"/>
    </w:rPr>
  </w:style>
  <w:style w:type="paragraph" w:styleId="Legenda">
    <w:name w:val="caption"/>
    <w:basedOn w:val="Normalny"/>
    <w:next w:val="Normalny"/>
    <w:uiPriority w:val="35"/>
    <w:qFormat/>
    <w:rsid w:val="001469ED"/>
    <w:pPr>
      <w:spacing w:after="0" w:line="240" w:lineRule="auto"/>
    </w:pPr>
    <w:rPr>
      <w:b/>
      <w:bCs/>
      <w:color w:val="1F497D"/>
      <w:sz w:val="20"/>
      <w:szCs w:val="20"/>
    </w:rPr>
  </w:style>
  <w:style w:type="paragraph" w:styleId="Spisilustracji">
    <w:name w:val="table of figures"/>
    <w:basedOn w:val="Normalny"/>
    <w:next w:val="Normalny"/>
    <w:uiPriority w:val="99"/>
    <w:unhideWhenUsed/>
    <w:rsid w:val="0075352C"/>
  </w:style>
  <w:style w:type="paragraph" w:customStyle="1" w:styleId="D2CC0B6B44A644CB9165D72AE26434DF">
    <w:name w:val="D2CC0B6B44A644CB9165D72AE26434DF"/>
    <w:rsid w:val="005A36AC"/>
    <w:pPr>
      <w:spacing w:after="200" w:line="276" w:lineRule="auto"/>
    </w:pPr>
    <w:rPr>
      <w:rFonts w:eastAsia="Times New Roman"/>
      <w:sz w:val="22"/>
      <w:szCs w:val="22"/>
    </w:rPr>
  </w:style>
  <w:style w:type="paragraph" w:styleId="Podtytu">
    <w:name w:val="Subtitle"/>
    <w:basedOn w:val="Normalny"/>
    <w:next w:val="Normalny"/>
    <w:link w:val="PodtytuZnak"/>
    <w:uiPriority w:val="11"/>
    <w:qFormat/>
    <w:rsid w:val="005A36AC"/>
    <w:pPr>
      <w:numPr>
        <w:ilvl w:val="1"/>
      </w:numPr>
    </w:pPr>
    <w:rPr>
      <w:rFonts w:ascii="Cambria" w:eastAsia="Times New Roman" w:hAnsi="Cambria"/>
      <w:i/>
      <w:iCs/>
      <w:color w:val="4F81BD"/>
      <w:spacing w:val="15"/>
      <w:sz w:val="24"/>
      <w:szCs w:val="24"/>
      <w:lang w:eastAsia="pl-PL"/>
    </w:rPr>
  </w:style>
  <w:style w:type="character" w:customStyle="1" w:styleId="PodtytuZnak">
    <w:name w:val="Podtytuł Znak"/>
    <w:link w:val="Podtytu"/>
    <w:uiPriority w:val="11"/>
    <w:rsid w:val="005A36AC"/>
    <w:rPr>
      <w:rFonts w:ascii="Cambria" w:eastAsia="Times New Roman" w:hAnsi="Cambria"/>
      <w:i/>
      <w:iCs/>
      <w:color w:val="4F81BD"/>
      <w:spacing w:val="15"/>
      <w:sz w:val="24"/>
      <w:szCs w:val="24"/>
    </w:rPr>
  </w:style>
  <w:style w:type="paragraph" w:styleId="Bezodstpw">
    <w:name w:val="No Spacing"/>
    <w:link w:val="BezodstpwZnak"/>
    <w:uiPriority w:val="1"/>
    <w:qFormat/>
    <w:rsid w:val="005A36AC"/>
    <w:rPr>
      <w:rFonts w:eastAsia="Times New Roman"/>
      <w:sz w:val="22"/>
      <w:szCs w:val="22"/>
    </w:rPr>
  </w:style>
  <w:style w:type="character" w:customStyle="1" w:styleId="BezodstpwZnak">
    <w:name w:val="Bez odstępów Znak"/>
    <w:link w:val="Bezodstpw"/>
    <w:uiPriority w:val="1"/>
    <w:rsid w:val="005A36AC"/>
    <w:rPr>
      <w:rFonts w:eastAsia="Times New Roman"/>
      <w:sz w:val="22"/>
      <w:szCs w:val="22"/>
    </w:rPr>
  </w:style>
  <w:style w:type="character" w:customStyle="1" w:styleId="Znakiprzypiswdolnych">
    <w:name w:val="Znaki przypisów dolnych"/>
    <w:rsid w:val="005419C5"/>
    <w:rPr>
      <w:vertAlign w:val="superscript"/>
    </w:rPr>
  </w:style>
  <w:style w:type="character" w:customStyle="1" w:styleId="Nagwek3Znak">
    <w:name w:val="Nagłówek 3 Znak"/>
    <w:link w:val="Nagwek3"/>
    <w:uiPriority w:val="9"/>
    <w:semiHidden/>
    <w:rsid w:val="004C398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564">
      <w:bodyDiv w:val="1"/>
      <w:marLeft w:val="0"/>
      <w:marRight w:val="0"/>
      <w:marTop w:val="0"/>
      <w:marBottom w:val="0"/>
      <w:divBdr>
        <w:top w:val="none" w:sz="0" w:space="0" w:color="auto"/>
        <w:left w:val="none" w:sz="0" w:space="0" w:color="auto"/>
        <w:bottom w:val="none" w:sz="0" w:space="0" w:color="auto"/>
        <w:right w:val="none" w:sz="0" w:space="0" w:color="auto"/>
      </w:divBdr>
    </w:div>
    <w:div w:id="331877695">
      <w:bodyDiv w:val="1"/>
      <w:marLeft w:val="0"/>
      <w:marRight w:val="0"/>
      <w:marTop w:val="0"/>
      <w:marBottom w:val="0"/>
      <w:divBdr>
        <w:top w:val="none" w:sz="0" w:space="0" w:color="auto"/>
        <w:left w:val="none" w:sz="0" w:space="0" w:color="auto"/>
        <w:bottom w:val="none" w:sz="0" w:space="0" w:color="auto"/>
        <w:right w:val="none" w:sz="0" w:space="0" w:color="auto"/>
      </w:divBdr>
    </w:div>
    <w:div w:id="351149056">
      <w:bodyDiv w:val="1"/>
      <w:marLeft w:val="0"/>
      <w:marRight w:val="0"/>
      <w:marTop w:val="0"/>
      <w:marBottom w:val="0"/>
      <w:divBdr>
        <w:top w:val="none" w:sz="0" w:space="0" w:color="auto"/>
        <w:left w:val="none" w:sz="0" w:space="0" w:color="auto"/>
        <w:bottom w:val="none" w:sz="0" w:space="0" w:color="auto"/>
        <w:right w:val="none" w:sz="0" w:space="0" w:color="auto"/>
      </w:divBdr>
    </w:div>
    <w:div w:id="476580712">
      <w:bodyDiv w:val="1"/>
      <w:marLeft w:val="0"/>
      <w:marRight w:val="0"/>
      <w:marTop w:val="0"/>
      <w:marBottom w:val="0"/>
      <w:divBdr>
        <w:top w:val="none" w:sz="0" w:space="0" w:color="auto"/>
        <w:left w:val="none" w:sz="0" w:space="0" w:color="auto"/>
        <w:bottom w:val="none" w:sz="0" w:space="0" w:color="auto"/>
        <w:right w:val="none" w:sz="0" w:space="0" w:color="auto"/>
      </w:divBdr>
    </w:div>
    <w:div w:id="673074688">
      <w:bodyDiv w:val="1"/>
      <w:marLeft w:val="0"/>
      <w:marRight w:val="0"/>
      <w:marTop w:val="0"/>
      <w:marBottom w:val="0"/>
      <w:divBdr>
        <w:top w:val="none" w:sz="0" w:space="0" w:color="auto"/>
        <w:left w:val="none" w:sz="0" w:space="0" w:color="auto"/>
        <w:bottom w:val="none" w:sz="0" w:space="0" w:color="auto"/>
        <w:right w:val="none" w:sz="0" w:space="0" w:color="auto"/>
      </w:divBdr>
    </w:div>
    <w:div w:id="747074132">
      <w:bodyDiv w:val="1"/>
      <w:marLeft w:val="0"/>
      <w:marRight w:val="0"/>
      <w:marTop w:val="0"/>
      <w:marBottom w:val="0"/>
      <w:divBdr>
        <w:top w:val="none" w:sz="0" w:space="0" w:color="auto"/>
        <w:left w:val="none" w:sz="0" w:space="0" w:color="auto"/>
        <w:bottom w:val="none" w:sz="0" w:space="0" w:color="auto"/>
        <w:right w:val="none" w:sz="0" w:space="0" w:color="auto"/>
      </w:divBdr>
    </w:div>
    <w:div w:id="839781318">
      <w:bodyDiv w:val="1"/>
      <w:marLeft w:val="0"/>
      <w:marRight w:val="0"/>
      <w:marTop w:val="0"/>
      <w:marBottom w:val="0"/>
      <w:divBdr>
        <w:top w:val="none" w:sz="0" w:space="0" w:color="auto"/>
        <w:left w:val="none" w:sz="0" w:space="0" w:color="auto"/>
        <w:bottom w:val="none" w:sz="0" w:space="0" w:color="auto"/>
        <w:right w:val="none" w:sz="0" w:space="0" w:color="auto"/>
      </w:divBdr>
    </w:div>
    <w:div w:id="847863387">
      <w:bodyDiv w:val="1"/>
      <w:marLeft w:val="0"/>
      <w:marRight w:val="0"/>
      <w:marTop w:val="0"/>
      <w:marBottom w:val="0"/>
      <w:divBdr>
        <w:top w:val="none" w:sz="0" w:space="0" w:color="auto"/>
        <w:left w:val="none" w:sz="0" w:space="0" w:color="auto"/>
        <w:bottom w:val="none" w:sz="0" w:space="0" w:color="auto"/>
        <w:right w:val="none" w:sz="0" w:space="0" w:color="auto"/>
      </w:divBdr>
    </w:div>
    <w:div w:id="881600712">
      <w:bodyDiv w:val="1"/>
      <w:marLeft w:val="0"/>
      <w:marRight w:val="0"/>
      <w:marTop w:val="0"/>
      <w:marBottom w:val="0"/>
      <w:divBdr>
        <w:top w:val="none" w:sz="0" w:space="0" w:color="auto"/>
        <w:left w:val="none" w:sz="0" w:space="0" w:color="auto"/>
        <w:bottom w:val="none" w:sz="0" w:space="0" w:color="auto"/>
        <w:right w:val="none" w:sz="0" w:space="0" w:color="auto"/>
      </w:divBdr>
    </w:div>
    <w:div w:id="934171359">
      <w:bodyDiv w:val="1"/>
      <w:marLeft w:val="0"/>
      <w:marRight w:val="0"/>
      <w:marTop w:val="0"/>
      <w:marBottom w:val="0"/>
      <w:divBdr>
        <w:top w:val="none" w:sz="0" w:space="0" w:color="auto"/>
        <w:left w:val="none" w:sz="0" w:space="0" w:color="auto"/>
        <w:bottom w:val="none" w:sz="0" w:space="0" w:color="auto"/>
        <w:right w:val="none" w:sz="0" w:space="0" w:color="auto"/>
      </w:divBdr>
    </w:div>
    <w:div w:id="935139945">
      <w:bodyDiv w:val="1"/>
      <w:marLeft w:val="0"/>
      <w:marRight w:val="0"/>
      <w:marTop w:val="0"/>
      <w:marBottom w:val="0"/>
      <w:divBdr>
        <w:top w:val="none" w:sz="0" w:space="0" w:color="auto"/>
        <w:left w:val="none" w:sz="0" w:space="0" w:color="auto"/>
        <w:bottom w:val="none" w:sz="0" w:space="0" w:color="auto"/>
        <w:right w:val="none" w:sz="0" w:space="0" w:color="auto"/>
      </w:divBdr>
    </w:div>
    <w:div w:id="935600296">
      <w:bodyDiv w:val="1"/>
      <w:marLeft w:val="0"/>
      <w:marRight w:val="0"/>
      <w:marTop w:val="0"/>
      <w:marBottom w:val="0"/>
      <w:divBdr>
        <w:top w:val="none" w:sz="0" w:space="0" w:color="auto"/>
        <w:left w:val="none" w:sz="0" w:space="0" w:color="auto"/>
        <w:bottom w:val="none" w:sz="0" w:space="0" w:color="auto"/>
        <w:right w:val="none" w:sz="0" w:space="0" w:color="auto"/>
      </w:divBdr>
    </w:div>
    <w:div w:id="947736780">
      <w:bodyDiv w:val="1"/>
      <w:marLeft w:val="0"/>
      <w:marRight w:val="0"/>
      <w:marTop w:val="0"/>
      <w:marBottom w:val="0"/>
      <w:divBdr>
        <w:top w:val="none" w:sz="0" w:space="0" w:color="auto"/>
        <w:left w:val="none" w:sz="0" w:space="0" w:color="auto"/>
        <w:bottom w:val="none" w:sz="0" w:space="0" w:color="auto"/>
        <w:right w:val="none" w:sz="0" w:space="0" w:color="auto"/>
      </w:divBdr>
    </w:div>
    <w:div w:id="949359580">
      <w:bodyDiv w:val="1"/>
      <w:marLeft w:val="0"/>
      <w:marRight w:val="0"/>
      <w:marTop w:val="0"/>
      <w:marBottom w:val="0"/>
      <w:divBdr>
        <w:top w:val="none" w:sz="0" w:space="0" w:color="auto"/>
        <w:left w:val="none" w:sz="0" w:space="0" w:color="auto"/>
        <w:bottom w:val="none" w:sz="0" w:space="0" w:color="auto"/>
        <w:right w:val="none" w:sz="0" w:space="0" w:color="auto"/>
      </w:divBdr>
    </w:div>
    <w:div w:id="950629459">
      <w:bodyDiv w:val="1"/>
      <w:marLeft w:val="0"/>
      <w:marRight w:val="0"/>
      <w:marTop w:val="0"/>
      <w:marBottom w:val="0"/>
      <w:divBdr>
        <w:top w:val="none" w:sz="0" w:space="0" w:color="auto"/>
        <w:left w:val="none" w:sz="0" w:space="0" w:color="auto"/>
        <w:bottom w:val="none" w:sz="0" w:space="0" w:color="auto"/>
        <w:right w:val="none" w:sz="0" w:space="0" w:color="auto"/>
      </w:divBdr>
    </w:div>
    <w:div w:id="956259661">
      <w:bodyDiv w:val="1"/>
      <w:marLeft w:val="0"/>
      <w:marRight w:val="0"/>
      <w:marTop w:val="0"/>
      <w:marBottom w:val="0"/>
      <w:divBdr>
        <w:top w:val="none" w:sz="0" w:space="0" w:color="auto"/>
        <w:left w:val="none" w:sz="0" w:space="0" w:color="auto"/>
        <w:bottom w:val="none" w:sz="0" w:space="0" w:color="auto"/>
        <w:right w:val="none" w:sz="0" w:space="0" w:color="auto"/>
      </w:divBdr>
    </w:div>
    <w:div w:id="963198424">
      <w:bodyDiv w:val="1"/>
      <w:marLeft w:val="0"/>
      <w:marRight w:val="0"/>
      <w:marTop w:val="0"/>
      <w:marBottom w:val="0"/>
      <w:divBdr>
        <w:top w:val="none" w:sz="0" w:space="0" w:color="auto"/>
        <w:left w:val="none" w:sz="0" w:space="0" w:color="auto"/>
        <w:bottom w:val="none" w:sz="0" w:space="0" w:color="auto"/>
        <w:right w:val="none" w:sz="0" w:space="0" w:color="auto"/>
      </w:divBdr>
    </w:div>
    <w:div w:id="1052077842">
      <w:bodyDiv w:val="1"/>
      <w:marLeft w:val="0"/>
      <w:marRight w:val="0"/>
      <w:marTop w:val="0"/>
      <w:marBottom w:val="0"/>
      <w:divBdr>
        <w:top w:val="none" w:sz="0" w:space="0" w:color="auto"/>
        <w:left w:val="none" w:sz="0" w:space="0" w:color="auto"/>
        <w:bottom w:val="none" w:sz="0" w:space="0" w:color="auto"/>
        <w:right w:val="none" w:sz="0" w:space="0" w:color="auto"/>
      </w:divBdr>
    </w:div>
    <w:div w:id="1069839428">
      <w:bodyDiv w:val="1"/>
      <w:marLeft w:val="0"/>
      <w:marRight w:val="0"/>
      <w:marTop w:val="0"/>
      <w:marBottom w:val="0"/>
      <w:divBdr>
        <w:top w:val="none" w:sz="0" w:space="0" w:color="auto"/>
        <w:left w:val="none" w:sz="0" w:space="0" w:color="auto"/>
        <w:bottom w:val="none" w:sz="0" w:space="0" w:color="auto"/>
        <w:right w:val="none" w:sz="0" w:space="0" w:color="auto"/>
      </w:divBdr>
    </w:div>
    <w:div w:id="1143959690">
      <w:bodyDiv w:val="1"/>
      <w:marLeft w:val="0"/>
      <w:marRight w:val="0"/>
      <w:marTop w:val="0"/>
      <w:marBottom w:val="0"/>
      <w:divBdr>
        <w:top w:val="none" w:sz="0" w:space="0" w:color="auto"/>
        <w:left w:val="none" w:sz="0" w:space="0" w:color="auto"/>
        <w:bottom w:val="none" w:sz="0" w:space="0" w:color="auto"/>
        <w:right w:val="none" w:sz="0" w:space="0" w:color="auto"/>
      </w:divBdr>
    </w:div>
    <w:div w:id="1154178721">
      <w:bodyDiv w:val="1"/>
      <w:marLeft w:val="0"/>
      <w:marRight w:val="0"/>
      <w:marTop w:val="0"/>
      <w:marBottom w:val="0"/>
      <w:divBdr>
        <w:top w:val="none" w:sz="0" w:space="0" w:color="auto"/>
        <w:left w:val="none" w:sz="0" w:space="0" w:color="auto"/>
        <w:bottom w:val="none" w:sz="0" w:space="0" w:color="auto"/>
        <w:right w:val="none" w:sz="0" w:space="0" w:color="auto"/>
      </w:divBdr>
    </w:div>
    <w:div w:id="1188102769">
      <w:bodyDiv w:val="1"/>
      <w:marLeft w:val="0"/>
      <w:marRight w:val="0"/>
      <w:marTop w:val="0"/>
      <w:marBottom w:val="0"/>
      <w:divBdr>
        <w:top w:val="none" w:sz="0" w:space="0" w:color="auto"/>
        <w:left w:val="none" w:sz="0" w:space="0" w:color="auto"/>
        <w:bottom w:val="none" w:sz="0" w:space="0" w:color="auto"/>
        <w:right w:val="none" w:sz="0" w:space="0" w:color="auto"/>
      </w:divBdr>
    </w:div>
    <w:div w:id="1207177870">
      <w:bodyDiv w:val="1"/>
      <w:marLeft w:val="0"/>
      <w:marRight w:val="0"/>
      <w:marTop w:val="0"/>
      <w:marBottom w:val="0"/>
      <w:divBdr>
        <w:top w:val="none" w:sz="0" w:space="0" w:color="auto"/>
        <w:left w:val="none" w:sz="0" w:space="0" w:color="auto"/>
        <w:bottom w:val="none" w:sz="0" w:space="0" w:color="auto"/>
        <w:right w:val="none" w:sz="0" w:space="0" w:color="auto"/>
      </w:divBdr>
    </w:div>
    <w:div w:id="1224874208">
      <w:bodyDiv w:val="1"/>
      <w:marLeft w:val="0"/>
      <w:marRight w:val="0"/>
      <w:marTop w:val="0"/>
      <w:marBottom w:val="0"/>
      <w:divBdr>
        <w:top w:val="none" w:sz="0" w:space="0" w:color="auto"/>
        <w:left w:val="none" w:sz="0" w:space="0" w:color="auto"/>
        <w:bottom w:val="none" w:sz="0" w:space="0" w:color="auto"/>
        <w:right w:val="none" w:sz="0" w:space="0" w:color="auto"/>
      </w:divBdr>
    </w:div>
    <w:div w:id="1231380984">
      <w:bodyDiv w:val="1"/>
      <w:marLeft w:val="0"/>
      <w:marRight w:val="0"/>
      <w:marTop w:val="0"/>
      <w:marBottom w:val="0"/>
      <w:divBdr>
        <w:top w:val="none" w:sz="0" w:space="0" w:color="auto"/>
        <w:left w:val="none" w:sz="0" w:space="0" w:color="auto"/>
        <w:bottom w:val="none" w:sz="0" w:space="0" w:color="auto"/>
        <w:right w:val="none" w:sz="0" w:space="0" w:color="auto"/>
      </w:divBdr>
    </w:div>
    <w:div w:id="1263614068">
      <w:bodyDiv w:val="1"/>
      <w:marLeft w:val="0"/>
      <w:marRight w:val="0"/>
      <w:marTop w:val="0"/>
      <w:marBottom w:val="0"/>
      <w:divBdr>
        <w:top w:val="none" w:sz="0" w:space="0" w:color="auto"/>
        <w:left w:val="none" w:sz="0" w:space="0" w:color="auto"/>
        <w:bottom w:val="none" w:sz="0" w:space="0" w:color="auto"/>
        <w:right w:val="none" w:sz="0" w:space="0" w:color="auto"/>
      </w:divBdr>
    </w:div>
    <w:div w:id="1346592117">
      <w:bodyDiv w:val="1"/>
      <w:marLeft w:val="0"/>
      <w:marRight w:val="0"/>
      <w:marTop w:val="0"/>
      <w:marBottom w:val="0"/>
      <w:divBdr>
        <w:top w:val="none" w:sz="0" w:space="0" w:color="auto"/>
        <w:left w:val="none" w:sz="0" w:space="0" w:color="auto"/>
        <w:bottom w:val="none" w:sz="0" w:space="0" w:color="auto"/>
        <w:right w:val="none" w:sz="0" w:space="0" w:color="auto"/>
      </w:divBdr>
    </w:div>
    <w:div w:id="1389916314">
      <w:bodyDiv w:val="1"/>
      <w:marLeft w:val="0"/>
      <w:marRight w:val="0"/>
      <w:marTop w:val="0"/>
      <w:marBottom w:val="0"/>
      <w:divBdr>
        <w:top w:val="none" w:sz="0" w:space="0" w:color="auto"/>
        <w:left w:val="none" w:sz="0" w:space="0" w:color="auto"/>
        <w:bottom w:val="none" w:sz="0" w:space="0" w:color="auto"/>
        <w:right w:val="none" w:sz="0" w:space="0" w:color="auto"/>
      </w:divBdr>
    </w:div>
    <w:div w:id="1455636690">
      <w:bodyDiv w:val="1"/>
      <w:marLeft w:val="0"/>
      <w:marRight w:val="0"/>
      <w:marTop w:val="0"/>
      <w:marBottom w:val="0"/>
      <w:divBdr>
        <w:top w:val="none" w:sz="0" w:space="0" w:color="auto"/>
        <w:left w:val="none" w:sz="0" w:space="0" w:color="auto"/>
        <w:bottom w:val="none" w:sz="0" w:space="0" w:color="auto"/>
        <w:right w:val="none" w:sz="0" w:space="0" w:color="auto"/>
      </w:divBdr>
    </w:div>
    <w:div w:id="1476604813">
      <w:bodyDiv w:val="1"/>
      <w:marLeft w:val="0"/>
      <w:marRight w:val="0"/>
      <w:marTop w:val="0"/>
      <w:marBottom w:val="0"/>
      <w:divBdr>
        <w:top w:val="none" w:sz="0" w:space="0" w:color="auto"/>
        <w:left w:val="none" w:sz="0" w:space="0" w:color="auto"/>
        <w:bottom w:val="none" w:sz="0" w:space="0" w:color="auto"/>
        <w:right w:val="none" w:sz="0" w:space="0" w:color="auto"/>
      </w:divBdr>
    </w:div>
    <w:div w:id="1484934584">
      <w:bodyDiv w:val="1"/>
      <w:marLeft w:val="0"/>
      <w:marRight w:val="0"/>
      <w:marTop w:val="0"/>
      <w:marBottom w:val="0"/>
      <w:divBdr>
        <w:top w:val="none" w:sz="0" w:space="0" w:color="auto"/>
        <w:left w:val="none" w:sz="0" w:space="0" w:color="auto"/>
        <w:bottom w:val="none" w:sz="0" w:space="0" w:color="auto"/>
        <w:right w:val="none" w:sz="0" w:space="0" w:color="auto"/>
      </w:divBdr>
    </w:div>
    <w:div w:id="1495605813">
      <w:bodyDiv w:val="1"/>
      <w:marLeft w:val="0"/>
      <w:marRight w:val="0"/>
      <w:marTop w:val="0"/>
      <w:marBottom w:val="0"/>
      <w:divBdr>
        <w:top w:val="none" w:sz="0" w:space="0" w:color="auto"/>
        <w:left w:val="none" w:sz="0" w:space="0" w:color="auto"/>
        <w:bottom w:val="none" w:sz="0" w:space="0" w:color="auto"/>
        <w:right w:val="none" w:sz="0" w:space="0" w:color="auto"/>
      </w:divBdr>
    </w:div>
    <w:div w:id="1521433183">
      <w:bodyDiv w:val="1"/>
      <w:marLeft w:val="0"/>
      <w:marRight w:val="0"/>
      <w:marTop w:val="0"/>
      <w:marBottom w:val="0"/>
      <w:divBdr>
        <w:top w:val="none" w:sz="0" w:space="0" w:color="auto"/>
        <w:left w:val="none" w:sz="0" w:space="0" w:color="auto"/>
        <w:bottom w:val="none" w:sz="0" w:space="0" w:color="auto"/>
        <w:right w:val="none" w:sz="0" w:space="0" w:color="auto"/>
      </w:divBdr>
    </w:div>
    <w:div w:id="1523208620">
      <w:bodyDiv w:val="1"/>
      <w:marLeft w:val="0"/>
      <w:marRight w:val="0"/>
      <w:marTop w:val="0"/>
      <w:marBottom w:val="0"/>
      <w:divBdr>
        <w:top w:val="none" w:sz="0" w:space="0" w:color="auto"/>
        <w:left w:val="none" w:sz="0" w:space="0" w:color="auto"/>
        <w:bottom w:val="none" w:sz="0" w:space="0" w:color="auto"/>
        <w:right w:val="none" w:sz="0" w:space="0" w:color="auto"/>
      </w:divBdr>
    </w:div>
    <w:div w:id="1604145252">
      <w:bodyDiv w:val="1"/>
      <w:marLeft w:val="0"/>
      <w:marRight w:val="0"/>
      <w:marTop w:val="0"/>
      <w:marBottom w:val="0"/>
      <w:divBdr>
        <w:top w:val="none" w:sz="0" w:space="0" w:color="auto"/>
        <w:left w:val="none" w:sz="0" w:space="0" w:color="auto"/>
        <w:bottom w:val="none" w:sz="0" w:space="0" w:color="auto"/>
        <w:right w:val="none" w:sz="0" w:space="0" w:color="auto"/>
      </w:divBdr>
    </w:div>
    <w:div w:id="1608152156">
      <w:bodyDiv w:val="1"/>
      <w:marLeft w:val="0"/>
      <w:marRight w:val="0"/>
      <w:marTop w:val="0"/>
      <w:marBottom w:val="0"/>
      <w:divBdr>
        <w:top w:val="none" w:sz="0" w:space="0" w:color="auto"/>
        <w:left w:val="none" w:sz="0" w:space="0" w:color="auto"/>
        <w:bottom w:val="none" w:sz="0" w:space="0" w:color="auto"/>
        <w:right w:val="none" w:sz="0" w:space="0" w:color="auto"/>
      </w:divBdr>
    </w:div>
    <w:div w:id="1656764308">
      <w:bodyDiv w:val="1"/>
      <w:marLeft w:val="0"/>
      <w:marRight w:val="0"/>
      <w:marTop w:val="0"/>
      <w:marBottom w:val="0"/>
      <w:divBdr>
        <w:top w:val="none" w:sz="0" w:space="0" w:color="auto"/>
        <w:left w:val="none" w:sz="0" w:space="0" w:color="auto"/>
        <w:bottom w:val="none" w:sz="0" w:space="0" w:color="auto"/>
        <w:right w:val="none" w:sz="0" w:space="0" w:color="auto"/>
      </w:divBdr>
    </w:div>
    <w:div w:id="1685789731">
      <w:bodyDiv w:val="1"/>
      <w:marLeft w:val="0"/>
      <w:marRight w:val="0"/>
      <w:marTop w:val="0"/>
      <w:marBottom w:val="0"/>
      <w:divBdr>
        <w:top w:val="none" w:sz="0" w:space="0" w:color="auto"/>
        <w:left w:val="none" w:sz="0" w:space="0" w:color="auto"/>
        <w:bottom w:val="none" w:sz="0" w:space="0" w:color="auto"/>
        <w:right w:val="none" w:sz="0" w:space="0" w:color="auto"/>
      </w:divBdr>
    </w:div>
    <w:div w:id="1702514114">
      <w:bodyDiv w:val="1"/>
      <w:marLeft w:val="0"/>
      <w:marRight w:val="0"/>
      <w:marTop w:val="0"/>
      <w:marBottom w:val="0"/>
      <w:divBdr>
        <w:top w:val="none" w:sz="0" w:space="0" w:color="auto"/>
        <w:left w:val="none" w:sz="0" w:space="0" w:color="auto"/>
        <w:bottom w:val="none" w:sz="0" w:space="0" w:color="auto"/>
        <w:right w:val="none" w:sz="0" w:space="0" w:color="auto"/>
      </w:divBdr>
    </w:div>
    <w:div w:id="1713771883">
      <w:bodyDiv w:val="1"/>
      <w:marLeft w:val="0"/>
      <w:marRight w:val="0"/>
      <w:marTop w:val="0"/>
      <w:marBottom w:val="0"/>
      <w:divBdr>
        <w:top w:val="none" w:sz="0" w:space="0" w:color="auto"/>
        <w:left w:val="none" w:sz="0" w:space="0" w:color="auto"/>
        <w:bottom w:val="none" w:sz="0" w:space="0" w:color="auto"/>
        <w:right w:val="none" w:sz="0" w:space="0" w:color="auto"/>
      </w:divBdr>
    </w:div>
    <w:div w:id="1714038037">
      <w:bodyDiv w:val="1"/>
      <w:marLeft w:val="0"/>
      <w:marRight w:val="0"/>
      <w:marTop w:val="0"/>
      <w:marBottom w:val="0"/>
      <w:divBdr>
        <w:top w:val="none" w:sz="0" w:space="0" w:color="auto"/>
        <w:left w:val="none" w:sz="0" w:space="0" w:color="auto"/>
        <w:bottom w:val="none" w:sz="0" w:space="0" w:color="auto"/>
        <w:right w:val="none" w:sz="0" w:space="0" w:color="auto"/>
      </w:divBdr>
    </w:div>
    <w:div w:id="1805151962">
      <w:bodyDiv w:val="1"/>
      <w:marLeft w:val="0"/>
      <w:marRight w:val="0"/>
      <w:marTop w:val="0"/>
      <w:marBottom w:val="0"/>
      <w:divBdr>
        <w:top w:val="none" w:sz="0" w:space="0" w:color="auto"/>
        <w:left w:val="none" w:sz="0" w:space="0" w:color="auto"/>
        <w:bottom w:val="none" w:sz="0" w:space="0" w:color="auto"/>
        <w:right w:val="none" w:sz="0" w:space="0" w:color="auto"/>
      </w:divBdr>
    </w:div>
    <w:div w:id="1811090361">
      <w:bodyDiv w:val="1"/>
      <w:marLeft w:val="0"/>
      <w:marRight w:val="0"/>
      <w:marTop w:val="0"/>
      <w:marBottom w:val="0"/>
      <w:divBdr>
        <w:top w:val="none" w:sz="0" w:space="0" w:color="auto"/>
        <w:left w:val="none" w:sz="0" w:space="0" w:color="auto"/>
        <w:bottom w:val="none" w:sz="0" w:space="0" w:color="auto"/>
        <w:right w:val="none" w:sz="0" w:space="0" w:color="auto"/>
      </w:divBdr>
    </w:div>
    <w:div w:id="1857304862">
      <w:bodyDiv w:val="1"/>
      <w:marLeft w:val="0"/>
      <w:marRight w:val="0"/>
      <w:marTop w:val="0"/>
      <w:marBottom w:val="0"/>
      <w:divBdr>
        <w:top w:val="none" w:sz="0" w:space="0" w:color="auto"/>
        <w:left w:val="none" w:sz="0" w:space="0" w:color="auto"/>
        <w:bottom w:val="none" w:sz="0" w:space="0" w:color="auto"/>
        <w:right w:val="none" w:sz="0" w:space="0" w:color="auto"/>
      </w:divBdr>
    </w:div>
    <w:div w:id="1857959739">
      <w:bodyDiv w:val="1"/>
      <w:marLeft w:val="0"/>
      <w:marRight w:val="0"/>
      <w:marTop w:val="0"/>
      <w:marBottom w:val="0"/>
      <w:divBdr>
        <w:top w:val="none" w:sz="0" w:space="0" w:color="auto"/>
        <w:left w:val="none" w:sz="0" w:space="0" w:color="auto"/>
        <w:bottom w:val="none" w:sz="0" w:space="0" w:color="auto"/>
        <w:right w:val="none" w:sz="0" w:space="0" w:color="auto"/>
      </w:divBdr>
    </w:div>
    <w:div w:id="1866824989">
      <w:bodyDiv w:val="1"/>
      <w:marLeft w:val="0"/>
      <w:marRight w:val="0"/>
      <w:marTop w:val="0"/>
      <w:marBottom w:val="0"/>
      <w:divBdr>
        <w:top w:val="none" w:sz="0" w:space="0" w:color="auto"/>
        <w:left w:val="none" w:sz="0" w:space="0" w:color="auto"/>
        <w:bottom w:val="none" w:sz="0" w:space="0" w:color="auto"/>
        <w:right w:val="none" w:sz="0" w:space="0" w:color="auto"/>
      </w:divBdr>
    </w:div>
    <w:div w:id="1883053704">
      <w:bodyDiv w:val="1"/>
      <w:marLeft w:val="0"/>
      <w:marRight w:val="0"/>
      <w:marTop w:val="0"/>
      <w:marBottom w:val="0"/>
      <w:divBdr>
        <w:top w:val="none" w:sz="0" w:space="0" w:color="auto"/>
        <w:left w:val="none" w:sz="0" w:space="0" w:color="auto"/>
        <w:bottom w:val="none" w:sz="0" w:space="0" w:color="auto"/>
        <w:right w:val="none" w:sz="0" w:space="0" w:color="auto"/>
      </w:divBdr>
    </w:div>
    <w:div w:id="1893074207">
      <w:bodyDiv w:val="1"/>
      <w:marLeft w:val="0"/>
      <w:marRight w:val="0"/>
      <w:marTop w:val="0"/>
      <w:marBottom w:val="0"/>
      <w:divBdr>
        <w:top w:val="none" w:sz="0" w:space="0" w:color="auto"/>
        <w:left w:val="none" w:sz="0" w:space="0" w:color="auto"/>
        <w:bottom w:val="none" w:sz="0" w:space="0" w:color="auto"/>
        <w:right w:val="none" w:sz="0" w:space="0" w:color="auto"/>
      </w:divBdr>
    </w:div>
    <w:div w:id="1905094622">
      <w:bodyDiv w:val="1"/>
      <w:marLeft w:val="0"/>
      <w:marRight w:val="0"/>
      <w:marTop w:val="0"/>
      <w:marBottom w:val="0"/>
      <w:divBdr>
        <w:top w:val="none" w:sz="0" w:space="0" w:color="auto"/>
        <w:left w:val="none" w:sz="0" w:space="0" w:color="auto"/>
        <w:bottom w:val="none" w:sz="0" w:space="0" w:color="auto"/>
        <w:right w:val="none" w:sz="0" w:space="0" w:color="auto"/>
      </w:divBdr>
    </w:div>
    <w:div w:id="1974823072">
      <w:bodyDiv w:val="1"/>
      <w:marLeft w:val="0"/>
      <w:marRight w:val="0"/>
      <w:marTop w:val="0"/>
      <w:marBottom w:val="0"/>
      <w:divBdr>
        <w:top w:val="none" w:sz="0" w:space="0" w:color="auto"/>
        <w:left w:val="none" w:sz="0" w:space="0" w:color="auto"/>
        <w:bottom w:val="none" w:sz="0" w:space="0" w:color="auto"/>
        <w:right w:val="none" w:sz="0" w:space="0" w:color="auto"/>
      </w:divBdr>
    </w:div>
    <w:div w:id="1977908466">
      <w:bodyDiv w:val="1"/>
      <w:marLeft w:val="0"/>
      <w:marRight w:val="0"/>
      <w:marTop w:val="0"/>
      <w:marBottom w:val="0"/>
      <w:divBdr>
        <w:top w:val="none" w:sz="0" w:space="0" w:color="auto"/>
        <w:left w:val="none" w:sz="0" w:space="0" w:color="auto"/>
        <w:bottom w:val="none" w:sz="0" w:space="0" w:color="auto"/>
        <w:right w:val="none" w:sz="0" w:space="0" w:color="auto"/>
      </w:divBdr>
    </w:div>
    <w:div w:id="1985965120">
      <w:bodyDiv w:val="1"/>
      <w:marLeft w:val="0"/>
      <w:marRight w:val="0"/>
      <w:marTop w:val="0"/>
      <w:marBottom w:val="0"/>
      <w:divBdr>
        <w:top w:val="none" w:sz="0" w:space="0" w:color="auto"/>
        <w:left w:val="none" w:sz="0" w:space="0" w:color="auto"/>
        <w:bottom w:val="none" w:sz="0" w:space="0" w:color="auto"/>
        <w:right w:val="none" w:sz="0" w:space="0" w:color="auto"/>
      </w:divBdr>
    </w:div>
    <w:div w:id="1996061214">
      <w:bodyDiv w:val="1"/>
      <w:marLeft w:val="0"/>
      <w:marRight w:val="0"/>
      <w:marTop w:val="0"/>
      <w:marBottom w:val="0"/>
      <w:divBdr>
        <w:top w:val="none" w:sz="0" w:space="0" w:color="auto"/>
        <w:left w:val="none" w:sz="0" w:space="0" w:color="auto"/>
        <w:bottom w:val="none" w:sz="0" w:space="0" w:color="auto"/>
        <w:right w:val="none" w:sz="0" w:space="0" w:color="auto"/>
      </w:divBdr>
    </w:div>
    <w:div w:id="2096630944">
      <w:bodyDiv w:val="1"/>
      <w:marLeft w:val="0"/>
      <w:marRight w:val="0"/>
      <w:marTop w:val="0"/>
      <w:marBottom w:val="0"/>
      <w:divBdr>
        <w:top w:val="none" w:sz="0" w:space="0" w:color="auto"/>
        <w:left w:val="none" w:sz="0" w:space="0" w:color="auto"/>
        <w:bottom w:val="none" w:sz="0" w:space="0" w:color="auto"/>
        <w:right w:val="none" w:sz="0" w:space="0" w:color="auto"/>
      </w:divBdr>
    </w:div>
    <w:div w:id="21372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6691-031E-4D0F-BA03-4754EDD2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14947</Words>
  <Characters>89684</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Wzór załącznika do PO zawierający informacje dotyczące ustanowienia ram wykonania do przekazania KE</vt:lpstr>
    </vt:vector>
  </TitlesOfParts>
  <Company>MRR</Company>
  <LinksUpToDate>false</LinksUpToDate>
  <CharactersWithSpaces>104423</CharactersWithSpaces>
  <SharedDoc>false</SharedDoc>
  <HLinks>
    <vt:vector size="138" baseType="variant">
      <vt:variant>
        <vt:i4>1966128</vt:i4>
      </vt:variant>
      <vt:variant>
        <vt:i4>173</vt:i4>
      </vt:variant>
      <vt:variant>
        <vt:i4>0</vt:i4>
      </vt:variant>
      <vt:variant>
        <vt:i4>5</vt:i4>
      </vt:variant>
      <vt:variant>
        <vt:lpwstr/>
      </vt:variant>
      <vt:variant>
        <vt:lpwstr>_Toc401826770</vt:lpwstr>
      </vt:variant>
      <vt:variant>
        <vt:i4>2031664</vt:i4>
      </vt:variant>
      <vt:variant>
        <vt:i4>167</vt:i4>
      </vt:variant>
      <vt:variant>
        <vt:i4>0</vt:i4>
      </vt:variant>
      <vt:variant>
        <vt:i4>5</vt:i4>
      </vt:variant>
      <vt:variant>
        <vt:lpwstr/>
      </vt:variant>
      <vt:variant>
        <vt:lpwstr>_Toc401826769</vt:lpwstr>
      </vt:variant>
      <vt:variant>
        <vt:i4>2031664</vt:i4>
      </vt:variant>
      <vt:variant>
        <vt:i4>161</vt:i4>
      </vt:variant>
      <vt:variant>
        <vt:i4>0</vt:i4>
      </vt:variant>
      <vt:variant>
        <vt:i4>5</vt:i4>
      </vt:variant>
      <vt:variant>
        <vt:lpwstr/>
      </vt:variant>
      <vt:variant>
        <vt:lpwstr>_Toc401826768</vt:lpwstr>
      </vt:variant>
      <vt:variant>
        <vt:i4>2031664</vt:i4>
      </vt:variant>
      <vt:variant>
        <vt:i4>155</vt:i4>
      </vt:variant>
      <vt:variant>
        <vt:i4>0</vt:i4>
      </vt:variant>
      <vt:variant>
        <vt:i4>5</vt:i4>
      </vt:variant>
      <vt:variant>
        <vt:lpwstr/>
      </vt:variant>
      <vt:variant>
        <vt:lpwstr>_Toc401826766</vt:lpwstr>
      </vt:variant>
      <vt:variant>
        <vt:i4>2031664</vt:i4>
      </vt:variant>
      <vt:variant>
        <vt:i4>149</vt:i4>
      </vt:variant>
      <vt:variant>
        <vt:i4>0</vt:i4>
      </vt:variant>
      <vt:variant>
        <vt:i4>5</vt:i4>
      </vt:variant>
      <vt:variant>
        <vt:lpwstr/>
      </vt:variant>
      <vt:variant>
        <vt:lpwstr>_Toc401826765</vt:lpwstr>
      </vt:variant>
      <vt:variant>
        <vt:i4>2031664</vt:i4>
      </vt:variant>
      <vt:variant>
        <vt:i4>143</vt:i4>
      </vt:variant>
      <vt:variant>
        <vt:i4>0</vt:i4>
      </vt:variant>
      <vt:variant>
        <vt:i4>5</vt:i4>
      </vt:variant>
      <vt:variant>
        <vt:lpwstr/>
      </vt:variant>
      <vt:variant>
        <vt:lpwstr>_Toc401826764</vt:lpwstr>
      </vt:variant>
      <vt:variant>
        <vt:i4>2031664</vt:i4>
      </vt:variant>
      <vt:variant>
        <vt:i4>137</vt:i4>
      </vt:variant>
      <vt:variant>
        <vt:i4>0</vt:i4>
      </vt:variant>
      <vt:variant>
        <vt:i4>5</vt:i4>
      </vt:variant>
      <vt:variant>
        <vt:lpwstr/>
      </vt:variant>
      <vt:variant>
        <vt:lpwstr>_Toc401826763</vt:lpwstr>
      </vt:variant>
      <vt:variant>
        <vt:i4>2031664</vt:i4>
      </vt:variant>
      <vt:variant>
        <vt:i4>131</vt:i4>
      </vt:variant>
      <vt:variant>
        <vt:i4>0</vt:i4>
      </vt:variant>
      <vt:variant>
        <vt:i4>5</vt:i4>
      </vt:variant>
      <vt:variant>
        <vt:lpwstr/>
      </vt:variant>
      <vt:variant>
        <vt:lpwstr>_Toc401826762</vt:lpwstr>
      </vt:variant>
      <vt:variant>
        <vt:i4>2031664</vt:i4>
      </vt:variant>
      <vt:variant>
        <vt:i4>125</vt:i4>
      </vt:variant>
      <vt:variant>
        <vt:i4>0</vt:i4>
      </vt:variant>
      <vt:variant>
        <vt:i4>5</vt:i4>
      </vt:variant>
      <vt:variant>
        <vt:lpwstr/>
      </vt:variant>
      <vt:variant>
        <vt:lpwstr>_Toc401826761</vt:lpwstr>
      </vt:variant>
      <vt:variant>
        <vt:i4>2031664</vt:i4>
      </vt:variant>
      <vt:variant>
        <vt:i4>119</vt:i4>
      </vt:variant>
      <vt:variant>
        <vt:i4>0</vt:i4>
      </vt:variant>
      <vt:variant>
        <vt:i4>5</vt:i4>
      </vt:variant>
      <vt:variant>
        <vt:lpwstr/>
      </vt:variant>
      <vt:variant>
        <vt:lpwstr>_Toc401826760</vt:lpwstr>
      </vt:variant>
      <vt:variant>
        <vt:i4>1835056</vt:i4>
      </vt:variant>
      <vt:variant>
        <vt:i4>113</vt:i4>
      </vt:variant>
      <vt:variant>
        <vt:i4>0</vt:i4>
      </vt:variant>
      <vt:variant>
        <vt:i4>5</vt:i4>
      </vt:variant>
      <vt:variant>
        <vt:lpwstr/>
      </vt:variant>
      <vt:variant>
        <vt:lpwstr>_Toc401826759</vt:lpwstr>
      </vt:variant>
      <vt:variant>
        <vt:i4>1835056</vt:i4>
      </vt:variant>
      <vt:variant>
        <vt:i4>107</vt:i4>
      </vt:variant>
      <vt:variant>
        <vt:i4>0</vt:i4>
      </vt:variant>
      <vt:variant>
        <vt:i4>5</vt:i4>
      </vt:variant>
      <vt:variant>
        <vt:lpwstr/>
      </vt:variant>
      <vt:variant>
        <vt:lpwstr>_Toc401826758</vt:lpwstr>
      </vt:variant>
      <vt:variant>
        <vt:i4>1835056</vt:i4>
      </vt:variant>
      <vt:variant>
        <vt:i4>101</vt:i4>
      </vt:variant>
      <vt:variant>
        <vt:i4>0</vt:i4>
      </vt:variant>
      <vt:variant>
        <vt:i4>5</vt:i4>
      </vt:variant>
      <vt:variant>
        <vt:lpwstr/>
      </vt:variant>
      <vt:variant>
        <vt:lpwstr>_Toc401826757</vt:lpwstr>
      </vt:variant>
      <vt:variant>
        <vt:i4>1835056</vt:i4>
      </vt:variant>
      <vt:variant>
        <vt:i4>95</vt:i4>
      </vt:variant>
      <vt:variant>
        <vt:i4>0</vt:i4>
      </vt:variant>
      <vt:variant>
        <vt:i4>5</vt:i4>
      </vt:variant>
      <vt:variant>
        <vt:lpwstr/>
      </vt:variant>
      <vt:variant>
        <vt:lpwstr>_Toc401826756</vt:lpwstr>
      </vt:variant>
      <vt:variant>
        <vt:i4>1835056</vt:i4>
      </vt:variant>
      <vt:variant>
        <vt:i4>89</vt:i4>
      </vt:variant>
      <vt:variant>
        <vt:i4>0</vt:i4>
      </vt:variant>
      <vt:variant>
        <vt:i4>5</vt:i4>
      </vt:variant>
      <vt:variant>
        <vt:lpwstr/>
      </vt:variant>
      <vt:variant>
        <vt:lpwstr>_Toc401826755</vt:lpwstr>
      </vt:variant>
      <vt:variant>
        <vt:i4>1835056</vt:i4>
      </vt:variant>
      <vt:variant>
        <vt:i4>83</vt:i4>
      </vt:variant>
      <vt:variant>
        <vt:i4>0</vt:i4>
      </vt:variant>
      <vt:variant>
        <vt:i4>5</vt:i4>
      </vt:variant>
      <vt:variant>
        <vt:lpwstr/>
      </vt:variant>
      <vt:variant>
        <vt:lpwstr>_Toc401826754</vt:lpwstr>
      </vt:variant>
      <vt:variant>
        <vt:i4>1703998</vt:i4>
      </vt:variant>
      <vt:variant>
        <vt:i4>38</vt:i4>
      </vt:variant>
      <vt:variant>
        <vt:i4>0</vt:i4>
      </vt:variant>
      <vt:variant>
        <vt:i4>5</vt:i4>
      </vt:variant>
      <vt:variant>
        <vt:lpwstr/>
      </vt:variant>
      <vt:variant>
        <vt:lpwstr>_Toc401825903</vt:lpwstr>
      </vt:variant>
      <vt:variant>
        <vt:i4>1703998</vt:i4>
      </vt:variant>
      <vt:variant>
        <vt:i4>32</vt:i4>
      </vt:variant>
      <vt:variant>
        <vt:i4>0</vt:i4>
      </vt:variant>
      <vt:variant>
        <vt:i4>5</vt:i4>
      </vt:variant>
      <vt:variant>
        <vt:lpwstr/>
      </vt:variant>
      <vt:variant>
        <vt:lpwstr>_Toc401825902</vt:lpwstr>
      </vt:variant>
      <vt:variant>
        <vt:i4>1703998</vt:i4>
      </vt:variant>
      <vt:variant>
        <vt:i4>26</vt:i4>
      </vt:variant>
      <vt:variant>
        <vt:i4>0</vt:i4>
      </vt:variant>
      <vt:variant>
        <vt:i4>5</vt:i4>
      </vt:variant>
      <vt:variant>
        <vt:lpwstr/>
      </vt:variant>
      <vt:variant>
        <vt:lpwstr>_Toc401825901</vt:lpwstr>
      </vt:variant>
      <vt:variant>
        <vt:i4>1703998</vt:i4>
      </vt:variant>
      <vt:variant>
        <vt:i4>20</vt:i4>
      </vt:variant>
      <vt:variant>
        <vt:i4>0</vt:i4>
      </vt:variant>
      <vt:variant>
        <vt:i4>5</vt:i4>
      </vt:variant>
      <vt:variant>
        <vt:lpwstr/>
      </vt:variant>
      <vt:variant>
        <vt:lpwstr>_Toc401825900</vt:lpwstr>
      </vt:variant>
      <vt:variant>
        <vt:i4>1245247</vt:i4>
      </vt:variant>
      <vt:variant>
        <vt:i4>14</vt:i4>
      </vt:variant>
      <vt:variant>
        <vt:i4>0</vt:i4>
      </vt:variant>
      <vt:variant>
        <vt:i4>5</vt:i4>
      </vt:variant>
      <vt:variant>
        <vt:lpwstr/>
      </vt:variant>
      <vt:variant>
        <vt:lpwstr>_Toc401825899</vt:lpwstr>
      </vt:variant>
      <vt:variant>
        <vt:i4>1245247</vt:i4>
      </vt:variant>
      <vt:variant>
        <vt:i4>8</vt:i4>
      </vt:variant>
      <vt:variant>
        <vt:i4>0</vt:i4>
      </vt:variant>
      <vt:variant>
        <vt:i4>5</vt:i4>
      </vt:variant>
      <vt:variant>
        <vt:lpwstr/>
      </vt:variant>
      <vt:variant>
        <vt:lpwstr>_Toc401825898</vt:lpwstr>
      </vt:variant>
      <vt:variant>
        <vt:i4>1245247</vt:i4>
      </vt:variant>
      <vt:variant>
        <vt:i4>2</vt:i4>
      </vt:variant>
      <vt:variant>
        <vt:i4>0</vt:i4>
      </vt:variant>
      <vt:variant>
        <vt:i4>5</vt:i4>
      </vt:variant>
      <vt:variant>
        <vt:lpwstr/>
      </vt:variant>
      <vt:variant>
        <vt:lpwstr>_Toc401825897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załącznika do PO zawierający informacje dotyczące ustanowienia ram wykonania do przekazania KE</dc:title>
  <dc:creator>Urszula Romanska</dc:creator>
  <cp:lastModifiedBy>Aneta Rudalska</cp:lastModifiedBy>
  <cp:revision>2</cp:revision>
  <cp:lastPrinted>2016-11-25T08:58:00Z</cp:lastPrinted>
  <dcterms:created xsi:type="dcterms:W3CDTF">2021-08-10T12:41:00Z</dcterms:created>
  <dcterms:modified xsi:type="dcterms:W3CDTF">2021-08-10T12:41:00Z</dcterms:modified>
</cp:coreProperties>
</file>